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9F6FF" w14:textId="77777777" w:rsidR="003229D5" w:rsidRPr="00307FBC" w:rsidRDefault="003229D5" w:rsidP="003229D5">
      <w:pPr>
        <w:spacing w:after="0" w:line="240" w:lineRule="auto"/>
        <w:jc w:val="both"/>
        <w:rPr>
          <w:rFonts w:eastAsia="Times New Roman" w:cs="Arial"/>
        </w:rPr>
      </w:pPr>
    </w:p>
    <w:p w14:paraId="62E56495" w14:textId="77777777" w:rsidR="003229D5" w:rsidRPr="00307FBC" w:rsidRDefault="003229D5" w:rsidP="003229D5">
      <w:pPr>
        <w:spacing w:after="0" w:line="240" w:lineRule="auto"/>
        <w:jc w:val="both"/>
        <w:rPr>
          <w:rFonts w:eastAsia="Times New Roman" w:cs="Arial"/>
          <w:sz w:val="26"/>
          <w:szCs w:val="26"/>
        </w:rPr>
      </w:pPr>
    </w:p>
    <w:p w14:paraId="513FC318" w14:textId="20217AE1" w:rsidR="003229D5" w:rsidRPr="00307FBC" w:rsidRDefault="003229D5" w:rsidP="0075093B">
      <w:pPr>
        <w:spacing w:after="0" w:line="240" w:lineRule="auto"/>
        <w:jc w:val="center"/>
        <w:outlineLvl w:val="0"/>
        <w:rPr>
          <w:rFonts w:eastAsia="Times New Roman" w:cs="Arial"/>
          <w:b/>
          <w:sz w:val="26"/>
          <w:szCs w:val="26"/>
        </w:rPr>
      </w:pPr>
      <w:r w:rsidRPr="00307FBC">
        <w:rPr>
          <w:rFonts w:eastAsia="Times New Roman" w:cs="Arial"/>
          <w:b/>
          <w:sz w:val="26"/>
          <w:szCs w:val="26"/>
        </w:rPr>
        <w:t>TRIBUNAL ADMINISTRATIF DE</w:t>
      </w:r>
      <w:r w:rsidR="00307FBC" w:rsidRPr="00307FBC">
        <w:rPr>
          <w:rFonts w:eastAsia="Times New Roman" w:cs="Arial"/>
          <w:b/>
          <w:sz w:val="26"/>
          <w:szCs w:val="26"/>
        </w:rPr>
        <w:t xml:space="preserve"> </w:t>
      </w:r>
      <w:r w:rsidR="00307FBC" w:rsidRPr="00307FBC">
        <w:rPr>
          <w:rFonts w:eastAsia="Times New Roman" w:cs="Arial"/>
          <w:b/>
          <w:sz w:val="26"/>
          <w:szCs w:val="26"/>
          <w:highlight w:val="yellow"/>
        </w:rPr>
        <w:t>XXXXX</w:t>
      </w:r>
    </w:p>
    <w:p w14:paraId="162C5938" w14:textId="77777777" w:rsidR="003229D5" w:rsidRPr="00307FBC" w:rsidRDefault="003229D5" w:rsidP="0075093B">
      <w:pPr>
        <w:spacing w:after="0" w:line="240" w:lineRule="auto"/>
        <w:jc w:val="center"/>
        <w:outlineLvl w:val="0"/>
        <w:rPr>
          <w:rFonts w:eastAsia="Times New Roman" w:cs="Arial"/>
          <w:b/>
          <w:sz w:val="26"/>
          <w:szCs w:val="26"/>
        </w:rPr>
      </w:pPr>
      <w:r w:rsidRPr="00307FBC">
        <w:rPr>
          <w:rFonts w:eastAsia="Times New Roman" w:cs="Arial"/>
          <w:b/>
          <w:sz w:val="26"/>
          <w:szCs w:val="26"/>
        </w:rPr>
        <w:t>RECOURS POUR EXCES DE POUVOIR</w:t>
      </w:r>
    </w:p>
    <w:p w14:paraId="3E678998" w14:textId="77777777" w:rsidR="003229D5" w:rsidRPr="00307FBC" w:rsidRDefault="003229D5" w:rsidP="003229D5">
      <w:pPr>
        <w:spacing w:after="0" w:line="240" w:lineRule="auto"/>
        <w:jc w:val="both"/>
        <w:rPr>
          <w:rFonts w:eastAsia="Times New Roman" w:cs="Arial"/>
        </w:rPr>
      </w:pPr>
    </w:p>
    <w:p w14:paraId="540FB1D6" w14:textId="77777777" w:rsidR="003229D5" w:rsidRPr="00307FBC" w:rsidRDefault="003229D5" w:rsidP="003229D5">
      <w:pPr>
        <w:spacing w:after="0" w:line="240" w:lineRule="auto"/>
        <w:jc w:val="both"/>
        <w:rPr>
          <w:rFonts w:eastAsia="Times New Roman" w:cs="Arial"/>
        </w:rPr>
      </w:pPr>
    </w:p>
    <w:p w14:paraId="7926477D" w14:textId="77777777" w:rsidR="003229D5" w:rsidRPr="00307FBC" w:rsidRDefault="003229D5" w:rsidP="003229D5">
      <w:pPr>
        <w:spacing w:after="0" w:line="240" w:lineRule="auto"/>
        <w:jc w:val="both"/>
        <w:rPr>
          <w:rFonts w:eastAsia="Times New Roman" w:cs="Arial"/>
        </w:rPr>
      </w:pPr>
    </w:p>
    <w:p w14:paraId="5B001DD2" w14:textId="77777777" w:rsidR="00307FBC" w:rsidRPr="00307FBC" w:rsidRDefault="00307FBC" w:rsidP="003229D5">
      <w:pPr>
        <w:spacing w:after="0" w:line="240" w:lineRule="auto"/>
        <w:jc w:val="both"/>
        <w:rPr>
          <w:rFonts w:eastAsia="Times New Roman" w:cs="Arial"/>
        </w:rPr>
      </w:pPr>
    </w:p>
    <w:p w14:paraId="2E84E7A4" w14:textId="77777777" w:rsidR="00307FBC" w:rsidRPr="00307FBC" w:rsidRDefault="00307FBC" w:rsidP="003229D5">
      <w:pPr>
        <w:spacing w:after="0" w:line="240" w:lineRule="auto"/>
        <w:jc w:val="both"/>
        <w:rPr>
          <w:rFonts w:eastAsia="Times New Roman" w:cs="Arial"/>
        </w:rPr>
      </w:pPr>
    </w:p>
    <w:p w14:paraId="4C918411" w14:textId="77777777" w:rsidR="003229D5" w:rsidRPr="00307FBC" w:rsidRDefault="003229D5" w:rsidP="003229D5">
      <w:pPr>
        <w:spacing w:after="0" w:line="240" w:lineRule="auto"/>
        <w:jc w:val="both"/>
        <w:rPr>
          <w:rFonts w:eastAsia="Times New Roman" w:cs="Arial"/>
        </w:rPr>
      </w:pPr>
    </w:p>
    <w:p w14:paraId="05844B2F" w14:textId="77777777" w:rsidR="003229D5" w:rsidRPr="00307FBC" w:rsidRDefault="003229D5" w:rsidP="003229D5">
      <w:pPr>
        <w:spacing w:after="0" w:line="240" w:lineRule="auto"/>
        <w:jc w:val="both"/>
        <w:rPr>
          <w:rFonts w:eastAsia="Times New Roman" w:cs="Arial"/>
        </w:rPr>
      </w:pPr>
    </w:p>
    <w:p w14:paraId="3A6C931C" w14:textId="1ECB9609" w:rsidR="005F7B79" w:rsidRPr="00307FBC" w:rsidRDefault="005F7B79" w:rsidP="0075093B">
      <w:pPr>
        <w:spacing w:after="0" w:line="240" w:lineRule="auto"/>
        <w:ind w:left="1276" w:hanging="1276"/>
        <w:jc w:val="both"/>
        <w:outlineLvl w:val="0"/>
        <w:rPr>
          <w:rFonts w:eastAsia="Times New Roman" w:cs="Arial"/>
          <w:b/>
          <w:i/>
          <w:highlight w:val="yellow"/>
        </w:rPr>
      </w:pPr>
      <w:r w:rsidRPr="00307FBC">
        <w:rPr>
          <w:rFonts w:eastAsia="Times New Roman" w:cs="Arial"/>
          <w:b/>
        </w:rPr>
        <w:t xml:space="preserve">POUR : </w:t>
      </w:r>
      <w:r w:rsidR="00307FBC" w:rsidRPr="00307FBC">
        <w:rPr>
          <w:rFonts w:eastAsia="Times New Roman" w:cs="Arial"/>
          <w:b/>
        </w:rPr>
        <w:tab/>
      </w:r>
      <w:r w:rsidRPr="00307FBC">
        <w:rPr>
          <w:rFonts w:eastAsia="Times New Roman" w:cs="Arial"/>
          <w:b/>
          <w:i/>
          <w:highlight w:val="yellow"/>
        </w:rPr>
        <w:t xml:space="preserve">Nom et Prénom : </w:t>
      </w:r>
      <w:r w:rsidR="00307FBC" w:rsidRPr="00307FBC">
        <w:rPr>
          <w:rFonts w:eastAsia="Times New Roman" w:cs="Arial"/>
          <w:b/>
          <w:i/>
          <w:highlight w:val="yellow"/>
        </w:rPr>
        <w:t>XXXXX</w:t>
      </w:r>
      <w:r w:rsidRPr="00307FBC">
        <w:rPr>
          <w:rFonts w:eastAsia="Times New Roman" w:cs="Arial"/>
          <w:b/>
          <w:i/>
          <w:highlight w:val="yellow"/>
        </w:rPr>
        <w:t xml:space="preserve"> </w:t>
      </w:r>
    </w:p>
    <w:p w14:paraId="6B6EA9E0" w14:textId="77777777" w:rsidR="00307FBC" w:rsidRPr="00307FBC" w:rsidRDefault="005F7B79" w:rsidP="0075093B">
      <w:pPr>
        <w:spacing w:after="0" w:line="240" w:lineRule="auto"/>
        <w:ind w:left="568" w:firstLine="708"/>
        <w:jc w:val="both"/>
        <w:outlineLvl w:val="0"/>
        <w:rPr>
          <w:rFonts w:eastAsia="Times New Roman" w:cs="Arial"/>
          <w:b/>
          <w:i/>
          <w:highlight w:val="yellow"/>
        </w:rPr>
      </w:pPr>
      <w:r w:rsidRPr="00307FBC">
        <w:rPr>
          <w:rFonts w:eastAsia="Times New Roman" w:cs="Arial"/>
          <w:b/>
          <w:i/>
          <w:highlight w:val="yellow"/>
        </w:rPr>
        <w:t xml:space="preserve">Date et lieu de naissance : </w:t>
      </w:r>
      <w:r w:rsidR="00307FBC" w:rsidRPr="00307FBC">
        <w:rPr>
          <w:rFonts w:eastAsia="Times New Roman" w:cs="Arial"/>
          <w:b/>
          <w:i/>
          <w:highlight w:val="yellow"/>
        </w:rPr>
        <w:t>XXXXX</w:t>
      </w:r>
    </w:p>
    <w:p w14:paraId="29D06E2A" w14:textId="0F77DE15" w:rsidR="005F7B79" w:rsidRDefault="00307FBC" w:rsidP="0075093B">
      <w:pPr>
        <w:spacing w:after="0" w:line="240" w:lineRule="auto"/>
        <w:ind w:left="568" w:firstLine="708"/>
        <w:jc w:val="both"/>
        <w:outlineLvl w:val="0"/>
        <w:rPr>
          <w:rFonts w:eastAsia="Times New Roman" w:cs="Arial"/>
          <w:b/>
          <w:i/>
        </w:rPr>
      </w:pPr>
      <w:r w:rsidRPr="00307FBC">
        <w:rPr>
          <w:rFonts w:eastAsia="Times New Roman" w:cs="Arial"/>
          <w:b/>
          <w:i/>
          <w:highlight w:val="yellow"/>
        </w:rPr>
        <w:t>Nationalité : XXXXX</w:t>
      </w:r>
    </w:p>
    <w:p w14:paraId="63B2D4E7" w14:textId="383C30E8" w:rsidR="003229D5" w:rsidRPr="00DA42B2" w:rsidRDefault="00DA42B2" w:rsidP="00DA42B2">
      <w:pPr>
        <w:spacing w:after="0" w:line="240" w:lineRule="auto"/>
        <w:ind w:left="568" w:firstLine="708"/>
        <w:jc w:val="both"/>
        <w:rPr>
          <w:rFonts w:eastAsia="Times New Roman" w:cs="Arial"/>
          <w:b/>
        </w:rPr>
      </w:pPr>
      <w:r w:rsidRPr="00F10ADA">
        <w:rPr>
          <w:rFonts w:eastAsia="Times New Roman" w:cs="Arial"/>
          <w:color w:val="FF0000"/>
        </w:rPr>
        <w:t>indiquer pour les deux parents</w:t>
      </w:r>
    </w:p>
    <w:p w14:paraId="5E9E7B3B" w14:textId="77777777" w:rsidR="003229D5" w:rsidRPr="00307FBC" w:rsidRDefault="003229D5" w:rsidP="003229D5">
      <w:pPr>
        <w:spacing w:after="0" w:line="240" w:lineRule="auto"/>
        <w:jc w:val="both"/>
        <w:rPr>
          <w:rFonts w:eastAsia="Times New Roman" w:cs="Arial"/>
        </w:rPr>
      </w:pPr>
    </w:p>
    <w:p w14:paraId="01C504FA" w14:textId="77777777" w:rsidR="003229D5" w:rsidRDefault="003229D5" w:rsidP="003229D5">
      <w:pPr>
        <w:spacing w:after="0" w:line="240" w:lineRule="auto"/>
        <w:jc w:val="both"/>
        <w:rPr>
          <w:rFonts w:eastAsia="Times New Roman" w:cs="Arial"/>
        </w:rPr>
      </w:pPr>
    </w:p>
    <w:p w14:paraId="7B604B78" w14:textId="77777777" w:rsidR="00DA42B2" w:rsidRPr="00307FBC" w:rsidRDefault="00DA42B2" w:rsidP="003229D5">
      <w:pPr>
        <w:spacing w:after="0" w:line="240" w:lineRule="auto"/>
        <w:jc w:val="both"/>
        <w:rPr>
          <w:rFonts w:eastAsia="Times New Roman" w:cs="Arial"/>
        </w:rPr>
      </w:pPr>
    </w:p>
    <w:p w14:paraId="3BB75D10" w14:textId="77777777" w:rsidR="00307FBC" w:rsidRPr="00307FBC" w:rsidRDefault="00307FBC" w:rsidP="003229D5">
      <w:pPr>
        <w:spacing w:after="0" w:line="240" w:lineRule="auto"/>
        <w:jc w:val="both"/>
        <w:rPr>
          <w:rFonts w:eastAsia="Times New Roman" w:cs="Arial"/>
        </w:rPr>
      </w:pPr>
    </w:p>
    <w:p w14:paraId="047A0A87" w14:textId="77777777" w:rsidR="00307FBC" w:rsidRPr="00307FBC" w:rsidRDefault="00307FBC" w:rsidP="003229D5">
      <w:pPr>
        <w:spacing w:after="0" w:line="240" w:lineRule="auto"/>
        <w:jc w:val="both"/>
        <w:rPr>
          <w:rFonts w:eastAsia="Times New Roman" w:cs="Arial"/>
        </w:rPr>
      </w:pPr>
    </w:p>
    <w:p w14:paraId="7E5C8DF5" w14:textId="304D4B7D" w:rsidR="003229D5" w:rsidRPr="00307FBC" w:rsidRDefault="003229D5" w:rsidP="00307FBC">
      <w:pPr>
        <w:spacing w:after="0" w:line="240" w:lineRule="auto"/>
        <w:ind w:left="1276" w:hanging="1276"/>
        <w:jc w:val="both"/>
        <w:rPr>
          <w:rFonts w:eastAsia="Times New Roman" w:cs="Arial"/>
        </w:rPr>
      </w:pPr>
      <w:r w:rsidRPr="00307FBC">
        <w:rPr>
          <w:rFonts w:eastAsia="Times New Roman" w:cs="Arial"/>
          <w:b/>
        </w:rPr>
        <w:t>OBJET</w:t>
      </w:r>
      <w:r w:rsidRPr="00307FBC">
        <w:rPr>
          <w:rFonts w:eastAsia="Times New Roman" w:cs="Arial"/>
        </w:rPr>
        <w:t xml:space="preserve"> :</w:t>
      </w:r>
      <w:r w:rsidR="00307FBC" w:rsidRPr="00307FBC">
        <w:rPr>
          <w:rFonts w:eastAsia="Times New Roman" w:cs="Arial"/>
        </w:rPr>
        <w:tab/>
      </w:r>
      <w:r w:rsidRPr="00307FBC">
        <w:rPr>
          <w:rFonts w:eastAsia="Times New Roman" w:cs="Arial"/>
        </w:rPr>
        <w:t>Demande d’annulation de la décision de rejet</w:t>
      </w:r>
      <w:r w:rsidR="008E2195" w:rsidRPr="00307FBC">
        <w:rPr>
          <w:rFonts w:eastAsia="Times New Roman" w:cs="Arial"/>
        </w:rPr>
        <w:t xml:space="preserve"> implicite</w:t>
      </w:r>
      <w:r w:rsidRPr="00307FBC">
        <w:rPr>
          <w:rFonts w:eastAsia="Times New Roman" w:cs="Arial"/>
        </w:rPr>
        <w:t xml:space="preserve"> par laquelle </w:t>
      </w:r>
      <w:r w:rsidR="00CA13AC" w:rsidRPr="00307FBC">
        <w:rPr>
          <w:rFonts w:eastAsia="Times New Roman" w:cs="Arial"/>
        </w:rPr>
        <w:t>la Direction des Services Département</w:t>
      </w:r>
      <w:r w:rsidR="00DA42B2">
        <w:rPr>
          <w:rFonts w:eastAsia="Times New Roman" w:cs="Arial"/>
        </w:rPr>
        <w:t>aux</w:t>
      </w:r>
      <w:r w:rsidR="00CA13AC" w:rsidRPr="00307FBC">
        <w:rPr>
          <w:rFonts w:eastAsia="Times New Roman" w:cs="Arial"/>
        </w:rPr>
        <w:t xml:space="preserve"> de l’Education Nationale</w:t>
      </w:r>
      <w:r w:rsidRPr="00307FBC">
        <w:rPr>
          <w:rFonts w:eastAsia="Times New Roman" w:cs="Arial"/>
        </w:rPr>
        <w:t xml:space="preserve"> de </w:t>
      </w:r>
      <w:r w:rsidR="00DA42B2" w:rsidRPr="00DA42B2">
        <w:rPr>
          <w:rFonts w:eastAsia="Times New Roman" w:cs="Arial"/>
          <w:highlight w:val="yellow"/>
        </w:rPr>
        <w:t>département</w:t>
      </w:r>
      <w:r w:rsidRPr="00307FBC">
        <w:rPr>
          <w:rFonts w:eastAsia="Times New Roman" w:cs="Arial"/>
        </w:rPr>
        <w:t xml:space="preserve"> décide de ne pas donner suite à la décision d</w:t>
      </w:r>
      <w:r w:rsidR="008E2195" w:rsidRPr="00307FBC">
        <w:rPr>
          <w:rFonts w:eastAsia="Times New Roman" w:cs="Arial"/>
        </w:rPr>
        <w:t xml:space="preserve">e la MDPH </w:t>
      </w:r>
      <w:r w:rsidR="00DA42B2" w:rsidRPr="00DA42B2">
        <w:rPr>
          <w:rFonts w:eastAsia="Times New Roman" w:cs="Arial"/>
          <w:highlight w:val="yellow"/>
        </w:rPr>
        <w:t>département</w:t>
      </w:r>
      <w:r w:rsidR="00DA42B2" w:rsidRPr="00307FBC">
        <w:rPr>
          <w:rFonts w:eastAsia="Times New Roman" w:cs="Arial"/>
        </w:rPr>
        <w:t xml:space="preserve"> </w:t>
      </w:r>
      <w:r w:rsidRPr="00307FBC">
        <w:rPr>
          <w:rFonts w:eastAsia="Times New Roman" w:cs="Arial"/>
        </w:rPr>
        <w:t xml:space="preserve">donnant son accord pour permettre l'intervention d'un auxiliaire de vie scolaire. </w:t>
      </w:r>
    </w:p>
    <w:p w14:paraId="3FBEF77A" w14:textId="77777777" w:rsidR="003229D5" w:rsidRPr="00307FBC" w:rsidRDefault="003229D5" w:rsidP="003229D5">
      <w:pPr>
        <w:rPr>
          <w:rFonts w:eastAsia="Times New Roman" w:cs="Arial"/>
        </w:rPr>
      </w:pPr>
    </w:p>
    <w:p w14:paraId="1C28DD76" w14:textId="77777777" w:rsidR="003229D5" w:rsidRPr="00307FBC" w:rsidRDefault="003229D5" w:rsidP="003229D5">
      <w:pPr>
        <w:rPr>
          <w:rFonts w:eastAsia="Times New Roman" w:cs="Arial"/>
        </w:rPr>
      </w:pPr>
    </w:p>
    <w:p w14:paraId="66C4BF0C" w14:textId="77777777" w:rsidR="003229D5" w:rsidRPr="00307FBC" w:rsidRDefault="003229D5" w:rsidP="003229D5">
      <w:pPr>
        <w:rPr>
          <w:rFonts w:eastAsia="Times New Roman" w:cs="Arial"/>
        </w:rPr>
      </w:pPr>
    </w:p>
    <w:p w14:paraId="24E21EA1" w14:textId="77777777" w:rsidR="003229D5" w:rsidRPr="00307FBC" w:rsidRDefault="003229D5" w:rsidP="003229D5">
      <w:pPr>
        <w:rPr>
          <w:rFonts w:eastAsia="Times New Roman" w:cs="Arial"/>
        </w:rPr>
      </w:pPr>
    </w:p>
    <w:p w14:paraId="11BDD637" w14:textId="77777777" w:rsidR="003229D5" w:rsidRPr="00307FBC" w:rsidRDefault="003229D5" w:rsidP="003229D5">
      <w:pPr>
        <w:spacing w:after="0" w:line="240" w:lineRule="auto"/>
        <w:jc w:val="center"/>
        <w:rPr>
          <w:rFonts w:eastAsia="Times New Roman" w:cs="Arial"/>
        </w:rPr>
      </w:pPr>
    </w:p>
    <w:p w14:paraId="3ACFB9A6" w14:textId="77777777" w:rsidR="003229D5" w:rsidRPr="00307FBC" w:rsidRDefault="003229D5" w:rsidP="003229D5">
      <w:pPr>
        <w:jc w:val="center"/>
        <w:rPr>
          <w:rFonts w:eastAsia="Times New Roman" w:cs="Times New Roman"/>
        </w:rPr>
      </w:pPr>
      <w:r w:rsidRPr="00307FBC">
        <w:rPr>
          <w:rFonts w:eastAsia="Times New Roman" w:cs="Times New Roman"/>
        </w:rPr>
        <w:br w:type="page"/>
      </w:r>
    </w:p>
    <w:p w14:paraId="4E11DB96" w14:textId="77777777" w:rsidR="003229D5" w:rsidRPr="00307FBC" w:rsidRDefault="003229D5" w:rsidP="0075093B">
      <w:pPr>
        <w:spacing w:after="0" w:line="240" w:lineRule="auto"/>
        <w:jc w:val="center"/>
        <w:outlineLvl w:val="0"/>
        <w:rPr>
          <w:rFonts w:eastAsia="Times New Roman" w:cs="Arial"/>
          <w:b/>
          <w:i/>
        </w:rPr>
      </w:pPr>
      <w:bookmarkStart w:id="0" w:name="3"/>
      <w:bookmarkEnd w:id="0"/>
      <w:r w:rsidRPr="00307FBC">
        <w:rPr>
          <w:rFonts w:eastAsia="Times New Roman" w:cs="Arial"/>
          <w:b/>
          <w:i/>
        </w:rPr>
        <w:lastRenderedPageBreak/>
        <w:t>FAITS ET PROCEDURE</w:t>
      </w:r>
    </w:p>
    <w:p w14:paraId="1E21F1DF" w14:textId="77777777" w:rsidR="003229D5" w:rsidRPr="00307FBC" w:rsidRDefault="003229D5" w:rsidP="003229D5">
      <w:pPr>
        <w:spacing w:after="0" w:line="240" w:lineRule="auto"/>
        <w:jc w:val="both"/>
        <w:rPr>
          <w:rFonts w:eastAsia="Times New Roman" w:cs="Arial"/>
        </w:rPr>
      </w:pPr>
    </w:p>
    <w:p w14:paraId="5816DDDD" w14:textId="134582A7" w:rsidR="00F821EC" w:rsidRPr="008B1F63" w:rsidRDefault="00F821EC" w:rsidP="00F821EC">
      <w:pPr>
        <w:spacing w:after="0" w:line="240" w:lineRule="auto"/>
        <w:jc w:val="both"/>
        <w:rPr>
          <w:rFonts w:eastAsia="Times New Roman" w:cs="Arial"/>
        </w:rPr>
      </w:pPr>
      <w:r w:rsidRPr="00F10ADA">
        <w:rPr>
          <w:rFonts w:eastAsia="Times New Roman" w:cs="Arial"/>
        </w:rPr>
        <w:t xml:space="preserve">Le </w:t>
      </w:r>
      <w:r w:rsidRPr="00637F41">
        <w:rPr>
          <w:rFonts w:eastAsia="Times New Roman" w:cs="Arial"/>
          <w:highlight w:val="yellow"/>
        </w:rPr>
        <w:t>fils</w:t>
      </w:r>
      <w:r w:rsidRPr="00F10ADA">
        <w:rPr>
          <w:rFonts w:eastAsia="Times New Roman" w:cs="Arial"/>
        </w:rPr>
        <w:t xml:space="preserve"> de </w:t>
      </w:r>
      <w:r w:rsidRPr="00F10ADA">
        <w:rPr>
          <w:rFonts w:eastAsia="Times New Roman" w:cs="Arial"/>
          <w:highlight w:val="yellow"/>
        </w:rPr>
        <w:t>noms des parents</w:t>
      </w:r>
      <w:r w:rsidRPr="00F10ADA">
        <w:rPr>
          <w:rFonts w:eastAsia="Times New Roman" w:cs="Arial"/>
        </w:rPr>
        <w:t xml:space="preserve">, </w:t>
      </w:r>
      <w:r w:rsidRPr="00F10ADA">
        <w:rPr>
          <w:rFonts w:eastAsia="Times New Roman" w:cs="Arial"/>
          <w:highlight w:val="yellow"/>
        </w:rPr>
        <w:t>nom de l’enfant</w:t>
      </w:r>
      <w:r w:rsidRPr="00F10ADA">
        <w:rPr>
          <w:rFonts w:eastAsia="Times New Roman" w:cs="Arial"/>
        </w:rPr>
        <w:t xml:space="preserve"> est en situation de handicap. Il est atteint de </w:t>
      </w:r>
      <w:r w:rsidRPr="00F10ADA">
        <w:rPr>
          <w:rFonts w:eastAsia="Times New Roman" w:cs="Arial"/>
          <w:highlight w:val="yellow"/>
        </w:rPr>
        <w:t>troubles du spectre autistique</w:t>
      </w:r>
      <w:r w:rsidR="003456D1">
        <w:rPr>
          <w:rFonts w:eastAsia="Times New Roman" w:cs="Arial"/>
        </w:rPr>
        <w:t xml:space="preserve"> (cf. </w:t>
      </w:r>
      <w:r w:rsidR="003456D1" w:rsidRPr="003456D1">
        <w:rPr>
          <w:rFonts w:eastAsia="Times New Roman" w:cs="Arial"/>
          <w:b/>
        </w:rPr>
        <w:t>pièce 1</w:t>
      </w:r>
      <w:r w:rsidR="003456D1">
        <w:rPr>
          <w:rFonts w:eastAsia="Times New Roman" w:cs="Arial"/>
        </w:rPr>
        <w:t> : certificat de diagnostic)</w:t>
      </w:r>
      <w:r w:rsidRPr="00F10ADA">
        <w:rPr>
          <w:rFonts w:eastAsia="Times New Roman" w:cs="Arial"/>
        </w:rPr>
        <w:t xml:space="preserve">. Il est âgé de </w:t>
      </w:r>
      <w:r w:rsidRPr="00F10ADA">
        <w:rPr>
          <w:rFonts w:eastAsia="Times New Roman" w:cs="Arial"/>
          <w:highlight w:val="yellow"/>
        </w:rPr>
        <w:t>X ans</w:t>
      </w:r>
      <w:r w:rsidRPr="00F10ADA">
        <w:rPr>
          <w:rFonts w:eastAsia="Times New Roman" w:cs="Arial"/>
        </w:rPr>
        <w:t xml:space="preserve">, et est inscrit en </w:t>
      </w:r>
      <w:r w:rsidRPr="00F10ADA">
        <w:rPr>
          <w:rFonts w:eastAsia="Times New Roman" w:cs="Arial"/>
          <w:highlight w:val="yellow"/>
        </w:rPr>
        <w:t>petite section de maternelle</w:t>
      </w:r>
      <w:r w:rsidRPr="00F10ADA">
        <w:rPr>
          <w:rFonts w:eastAsia="Times New Roman" w:cs="Arial"/>
        </w:rPr>
        <w:t xml:space="preserve"> dans </w:t>
      </w:r>
      <w:r w:rsidRPr="00F10ADA">
        <w:rPr>
          <w:rFonts w:eastAsia="Times New Roman" w:cs="Arial"/>
          <w:highlight w:val="yellow"/>
        </w:rPr>
        <w:t>son école de secteur</w:t>
      </w:r>
      <w:r w:rsidRPr="00F10ADA">
        <w:rPr>
          <w:rFonts w:eastAsia="Times New Roman" w:cs="Arial"/>
        </w:rPr>
        <w:t xml:space="preserve">, la </w:t>
      </w:r>
      <w:r w:rsidRPr="0075093B">
        <w:rPr>
          <w:rFonts w:eastAsia="Times New Roman" w:cs="Arial"/>
          <w:highlight w:val="yellow"/>
        </w:rPr>
        <w:t>maternelle</w:t>
      </w:r>
      <w:r w:rsidRPr="00F10ADA">
        <w:rPr>
          <w:rFonts w:eastAsia="Times New Roman" w:cs="Arial"/>
        </w:rPr>
        <w:t xml:space="preserve"> </w:t>
      </w:r>
      <w:r w:rsidRPr="00F10ADA">
        <w:rPr>
          <w:rFonts w:eastAsia="Times New Roman" w:cs="Arial"/>
          <w:highlight w:val="yellow"/>
        </w:rPr>
        <w:t>nom de l’école</w:t>
      </w:r>
      <w:r w:rsidRPr="00F10ADA">
        <w:rPr>
          <w:rFonts w:eastAsia="Times New Roman" w:cs="Arial"/>
        </w:rPr>
        <w:t xml:space="preserve"> à </w:t>
      </w:r>
      <w:r w:rsidRPr="00F10ADA">
        <w:rPr>
          <w:rFonts w:eastAsia="Times New Roman" w:cs="Arial"/>
          <w:highlight w:val="yellow"/>
        </w:rPr>
        <w:t>commune</w:t>
      </w:r>
      <w:r w:rsidRPr="00F10ADA">
        <w:rPr>
          <w:rFonts w:eastAsia="Times New Roman" w:cs="Arial"/>
        </w:rPr>
        <w:t>.</w:t>
      </w:r>
      <w:r>
        <w:rPr>
          <w:rFonts w:eastAsia="Times New Roman" w:cs="Arial"/>
        </w:rPr>
        <w:t xml:space="preserve">  </w:t>
      </w:r>
      <w:r w:rsidRPr="00F10ADA">
        <w:rPr>
          <w:rFonts w:eastAsia="Times New Roman" w:cs="Arial"/>
          <w:color w:val="FF0000"/>
        </w:rPr>
        <w:t xml:space="preserve"> à adapter</w:t>
      </w:r>
    </w:p>
    <w:p w14:paraId="004A59B4" w14:textId="77777777" w:rsidR="00F821EC" w:rsidRPr="008B1F63" w:rsidRDefault="00F821EC" w:rsidP="00F821EC">
      <w:pPr>
        <w:spacing w:after="0" w:line="240" w:lineRule="auto"/>
        <w:jc w:val="both"/>
        <w:rPr>
          <w:rFonts w:eastAsia="Times New Roman" w:cs="Arial"/>
        </w:rPr>
      </w:pPr>
    </w:p>
    <w:p w14:paraId="3F600FE1" w14:textId="40474DAC" w:rsidR="00F821EC" w:rsidRPr="008B1F63" w:rsidRDefault="00F821EC" w:rsidP="00F821EC">
      <w:pPr>
        <w:spacing w:after="0" w:line="240" w:lineRule="auto"/>
        <w:jc w:val="both"/>
        <w:rPr>
          <w:rFonts w:eastAsia="Times New Roman" w:cs="Arial"/>
        </w:rPr>
      </w:pPr>
      <w:r w:rsidRPr="00F10ADA">
        <w:rPr>
          <w:rFonts w:eastAsia="Times New Roman" w:cs="Arial"/>
        </w:rPr>
        <w:t xml:space="preserve">Par décision du </w:t>
      </w:r>
      <w:r w:rsidRPr="00F10ADA">
        <w:rPr>
          <w:rFonts w:eastAsia="Times New Roman" w:cs="Arial"/>
          <w:highlight w:val="yellow"/>
        </w:rPr>
        <w:t>date</w:t>
      </w:r>
      <w:r w:rsidRPr="00637F41">
        <w:rPr>
          <w:rFonts w:eastAsia="Times New Roman" w:cs="Arial"/>
        </w:rPr>
        <w:t>,</w:t>
      </w:r>
      <w:r w:rsidRPr="00F10ADA">
        <w:rPr>
          <w:rFonts w:eastAsia="Times New Roman" w:cs="Arial"/>
        </w:rPr>
        <w:t xml:space="preserve"> la Commission de Droit et de l’Autonomie des Personnes Handicapées (C.D.A.P.H.) de la Maison Départementale des Personnes Handicapées </w:t>
      </w:r>
      <w:r>
        <w:rPr>
          <w:rFonts w:eastAsia="Times New Roman" w:cs="Arial"/>
        </w:rPr>
        <w:t xml:space="preserve">de </w:t>
      </w:r>
      <w:r w:rsidRPr="00F10ADA">
        <w:rPr>
          <w:rFonts w:eastAsia="Times New Roman" w:cs="Arial"/>
          <w:highlight w:val="yellow"/>
        </w:rPr>
        <w:t>département</w:t>
      </w:r>
      <w:r w:rsidRPr="00F10ADA">
        <w:rPr>
          <w:rFonts w:eastAsia="Times New Roman" w:cs="Arial"/>
        </w:rPr>
        <w:t xml:space="preserve"> lui a attribué </w:t>
      </w:r>
      <w:r w:rsidRPr="00F10ADA">
        <w:rPr>
          <w:rFonts w:eastAsia="Times New Roman" w:cs="Arial"/>
          <w:highlight w:val="yellow"/>
        </w:rPr>
        <w:t>X</w:t>
      </w:r>
      <w:r w:rsidRPr="00F10ADA">
        <w:rPr>
          <w:rFonts w:eastAsia="Times New Roman" w:cs="Arial"/>
        </w:rPr>
        <w:t xml:space="preserve"> heures </w:t>
      </w:r>
      <w:r w:rsidR="0075093B">
        <w:rPr>
          <w:rFonts w:eastAsia="Times New Roman" w:cs="Arial"/>
        </w:rPr>
        <w:t>d’aide humaine à la scolarisation</w:t>
      </w:r>
      <w:r w:rsidRPr="00F10ADA">
        <w:rPr>
          <w:rFonts w:eastAsia="Times New Roman" w:cs="Arial"/>
          <w:highlight w:val="yellow"/>
        </w:rPr>
        <w:t xml:space="preserve"> individuelle (</w:t>
      </w:r>
      <w:r w:rsidR="0075093B">
        <w:rPr>
          <w:rFonts w:eastAsia="Times New Roman" w:cs="Arial"/>
          <w:highlight w:val="yellow"/>
        </w:rPr>
        <w:t>AESH</w:t>
      </w:r>
      <w:r w:rsidRPr="00F10ADA">
        <w:rPr>
          <w:rFonts w:eastAsia="Times New Roman" w:cs="Arial"/>
          <w:highlight w:val="yellow"/>
        </w:rPr>
        <w:t>-i)</w:t>
      </w:r>
      <w:r w:rsidR="003456D1">
        <w:rPr>
          <w:rFonts w:eastAsia="Times New Roman" w:cs="Arial"/>
        </w:rPr>
        <w:t xml:space="preserve"> (cf. </w:t>
      </w:r>
      <w:r w:rsidR="003456D1" w:rsidRPr="003456D1">
        <w:rPr>
          <w:rFonts w:eastAsia="Times New Roman" w:cs="Arial"/>
          <w:b/>
        </w:rPr>
        <w:t>pièce 2</w:t>
      </w:r>
      <w:r w:rsidR="003456D1">
        <w:rPr>
          <w:rFonts w:eastAsia="Times New Roman" w:cs="Arial"/>
        </w:rPr>
        <w:t> : notification de la CDAPH)</w:t>
      </w:r>
      <w:r w:rsidRPr="008B1F63">
        <w:rPr>
          <w:rFonts w:eastAsia="Times New Roman" w:cs="Arial"/>
        </w:rPr>
        <w:t xml:space="preserve"> </w:t>
      </w:r>
      <w:r>
        <w:rPr>
          <w:rFonts w:eastAsia="Times New Roman" w:cs="Arial"/>
        </w:rPr>
        <w:t xml:space="preserve">  </w:t>
      </w:r>
      <w:r w:rsidRPr="008B1F63">
        <w:rPr>
          <w:rFonts w:eastAsia="Times New Roman" w:cs="Arial"/>
          <w:color w:val="FF0000"/>
        </w:rPr>
        <w:t xml:space="preserve">indiquer s’il s’agit d’une </w:t>
      </w:r>
      <w:r w:rsidR="0075093B">
        <w:rPr>
          <w:rFonts w:eastAsia="Times New Roman" w:cs="Arial"/>
          <w:color w:val="FF0000"/>
        </w:rPr>
        <w:t>AESH</w:t>
      </w:r>
      <w:r w:rsidRPr="008B1F63">
        <w:rPr>
          <w:rFonts w:eastAsia="Times New Roman" w:cs="Arial"/>
          <w:color w:val="FF0000"/>
        </w:rPr>
        <w:t xml:space="preserve"> individuelle ou mutualisée</w:t>
      </w:r>
    </w:p>
    <w:p w14:paraId="634DFB23" w14:textId="77777777" w:rsidR="00F821EC" w:rsidRPr="008B1F63" w:rsidRDefault="00F821EC" w:rsidP="00F821EC">
      <w:pPr>
        <w:spacing w:after="0" w:line="240" w:lineRule="auto"/>
        <w:jc w:val="both"/>
        <w:rPr>
          <w:rFonts w:eastAsia="Times New Roman" w:cs="Arial"/>
        </w:rPr>
      </w:pPr>
    </w:p>
    <w:p w14:paraId="41A8521E" w14:textId="439EAC59" w:rsidR="00F821EC" w:rsidRPr="008B1F63" w:rsidRDefault="00F821EC" w:rsidP="00F821EC">
      <w:pPr>
        <w:spacing w:after="0" w:line="240" w:lineRule="auto"/>
        <w:jc w:val="both"/>
        <w:rPr>
          <w:rFonts w:eastAsia="Times New Roman" w:cs="Arial"/>
        </w:rPr>
      </w:pPr>
      <w:r w:rsidRPr="008B1F63">
        <w:rPr>
          <w:rFonts w:eastAsia="Times New Roman" w:cs="Arial"/>
        </w:rPr>
        <w:t>Néanmoins, le Ministère de l’Education Nationale n’a jamais mis à la disposition de l’écol</w:t>
      </w:r>
      <w:r w:rsidR="0075093B">
        <w:rPr>
          <w:rFonts w:eastAsia="Times New Roman" w:cs="Arial"/>
        </w:rPr>
        <w:t>e l’AESH (Accompagnant des Elèves en Situation de Handicap)</w:t>
      </w:r>
      <w:r w:rsidRPr="008B1F63">
        <w:rPr>
          <w:rFonts w:eastAsia="Times New Roman" w:cs="Arial"/>
        </w:rPr>
        <w:t xml:space="preserve"> pourtant attribué par la CADPH. </w:t>
      </w:r>
    </w:p>
    <w:p w14:paraId="71633205" w14:textId="77777777" w:rsidR="00F821EC" w:rsidRPr="008B1F63" w:rsidRDefault="00F821EC" w:rsidP="00F821EC">
      <w:pPr>
        <w:spacing w:after="0" w:line="240" w:lineRule="auto"/>
        <w:jc w:val="both"/>
        <w:rPr>
          <w:rFonts w:eastAsia="Times New Roman" w:cs="Arial"/>
        </w:rPr>
      </w:pPr>
    </w:p>
    <w:p w14:paraId="0582E3F4" w14:textId="2D7D04C4" w:rsidR="00F821EC" w:rsidRDefault="00F821EC" w:rsidP="00F821EC">
      <w:pPr>
        <w:spacing w:after="0" w:line="240" w:lineRule="auto"/>
        <w:jc w:val="both"/>
        <w:rPr>
          <w:rFonts w:eastAsia="Times New Roman" w:cs="Arial"/>
        </w:rPr>
      </w:pPr>
      <w:r w:rsidRPr="008B1F63">
        <w:rPr>
          <w:rFonts w:eastAsia="Times New Roman" w:cs="Arial"/>
        </w:rPr>
        <w:t xml:space="preserve">Il est intervenu une décision implicite de rejet suite à la mise en demeure que nous avons adressée le </w:t>
      </w:r>
      <w:r w:rsidRPr="00637F41">
        <w:rPr>
          <w:rFonts w:eastAsia="Times New Roman" w:cs="Arial"/>
          <w:highlight w:val="yellow"/>
        </w:rPr>
        <w:t>date</w:t>
      </w:r>
      <w:r w:rsidRPr="008B1F63">
        <w:rPr>
          <w:rFonts w:eastAsia="Times New Roman" w:cs="Arial"/>
        </w:rPr>
        <w:t>,</w:t>
      </w:r>
      <w:r w:rsidR="003456D1">
        <w:rPr>
          <w:rFonts w:eastAsia="Times New Roman" w:cs="Arial"/>
        </w:rPr>
        <w:t xml:space="preserve"> décision aujourd’hui contestée (cf. </w:t>
      </w:r>
      <w:r w:rsidR="003456D1" w:rsidRPr="003456D1">
        <w:rPr>
          <w:rFonts w:eastAsia="Times New Roman" w:cs="Arial"/>
          <w:b/>
        </w:rPr>
        <w:t>pièce 3</w:t>
      </w:r>
      <w:r w:rsidR="003456D1">
        <w:rPr>
          <w:rFonts w:eastAsia="Times New Roman" w:cs="Arial"/>
        </w:rPr>
        <w:t> : mise en demeure)</w:t>
      </w:r>
    </w:p>
    <w:p w14:paraId="3D0E4FA2" w14:textId="77777777" w:rsidR="003456D1" w:rsidRDefault="003456D1" w:rsidP="00F821EC">
      <w:pPr>
        <w:spacing w:after="0" w:line="240" w:lineRule="auto"/>
        <w:jc w:val="both"/>
        <w:rPr>
          <w:rFonts w:eastAsia="Times New Roman" w:cs="Arial"/>
        </w:rPr>
      </w:pPr>
    </w:p>
    <w:p w14:paraId="6CB0B66F" w14:textId="1A18BB06" w:rsidR="003456D1" w:rsidRPr="00213FA7" w:rsidRDefault="003456D1" w:rsidP="003456D1">
      <w:pPr>
        <w:spacing w:after="0" w:line="240" w:lineRule="auto"/>
        <w:jc w:val="both"/>
        <w:rPr>
          <w:rFonts w:eastAsia="Times New Roman" w:cs="Arial"/>
          <w:color w:val="FF0000"/>
        </w:rPr>
      </w:pPr>
      <w:r>
        <w:rPr>
          <w:rFonts w:eastAsia="Times New Roman" w:cs="Arial"/>
          <w:color w:val="FF0000"/>
        </w:rPr>
        <w:t>Reprendre chronologiquement toutes les démarches entreprises pour obtenir l’</w:t>
      </w:r>
      <w:r w:rsidR="0075093B">
        <w:rPr>
          <w:rFonts w:eastAsia="Times New Roman" w:cs="Arial"/>
          <w:color w:val="FF0000"/>
        </w:rPr>
        <w:t>AESH</w:t>
      </w:r>
      <w:r>
        <w:rPr>
          <w:rFonts w:eastAsia="Times New Roman" w:cs="Arial"/>
          <w:color w:val="FF0000"/>
        </w:rPr>
        <w:t> : appels téléphoniques (en précisant bien la fonction des interlocuteurs), mails, rencontres et réponses obtenues (ou absence de réponse donnée). Bien préciser la date de chaque démarche.</w:t>
      </w:r>
    </w:p>
    <w:p w14:paraId="6911D8A2" w14:textId="77777777" w:rsidR="003456D1" w:rsidRPr="008B1F63" w:rsidRDefault="003456D1" w:rsidP="00F821EC">
      <w:pPr>
        <w:spacing w:after="0" w:line="240" w:lineRule="auto"/>
        <w:jc w:val="both"/>
        <w:rPr>
          <w:rFonts w:eastAsia="Times New Roman" w:cs="Arial"/>
        </w:rPr>
      </w:pPr>
    </w:p>
    <w:p w14:paraId="431D99A9" w14:textId="77777777" w:rsidR="003229D5" w:rsidRPr="00307FBC" w:rsidRDefault="003229D5" w:rsidP="003229D5">
      <w:pPr>
        <w:spacing w:after="0" w:line="240" w:lineRule="auto"/>
        <w:jc w:val="both"/>
        <w:rPr>
          <w:rFonts w:eastAsia="Times New Roman" w:cs="Arial"/>
        </w:rPr>
      </w:pPr>
    </w:p>
    <w:p w14:paraId="619CC17C" w14:textId="77777777" w:rsidR="003229D5" w:rsidRPr="00307FBC" w:rsidRDefault="003229D5" w:rsidP="003229D5">
      <w:pPr>
        <w:spacing w:after="0" w:line="240" w:lineRule="auto"/>
        <w:jc w:val="both"/>
        <w:rPr>
          <w:rFonts w:eastAsia="Times New Roman" w:cs="Arial"/>
        </w:rPr>
      </w:pPr>
    </w:p>
    <w:p w14:paraId="55B78AC3" w14:textId="77777777" w:rsidR="003229D5" w:rsidRPr="00307FBC" w:rsidRDefault="003229D5" w:rsidP="0075093B">
      <w:pPr>
        <w:spacing w:after="0" w:line="240" w:lineRule="auto"/>
        <w:jc w:val="center"/>
        <w:outlineLvl w:val="0"/>
        <w:rPr>
          <w:rFonts w:eastAsia="Times New Roman" w:cs="Arial"/>
          <w:b/>
          <w:i/>
        </w:rPr>
      </w:pPr>
      <w:r w:rsidRPr="00307FBC">
        <w:rPr>
          <w:rFonts w:eastAsia="Times New Roman" w:cs="Arial"/>
          <w:b/>
          <w:i/>
        </w:rPr>
        <w:t>DISCUSSION</w:t>
      </w:r>
    </w:p>
    <w:p w14:paraId="7D533713" w14:textId="77777777" w:rsidR="003229D5" w:rsidRPr="00307FBC" w:rsidRDefault="003229D5" w:rsidP="003229D5">
      <w:pPr>
        <w:spacing w:after="0" w:line="240" w:lineRule="auto"/>
        <w:jc w:val="center"/>
        <w:rPr>
          <w:rFonts w:eastAsia="Times New Roman" w:cs="Arial"/>
          <w:b/>
          <w:i/>
        </w:rPr>
      </w:pPr>
    </w:p>
    <w:p w14:paraId="7C74C4BE" w14:textId="77777777" w:rsidR="003229D5" w:rsidRPr="00307FBC" w:rsidRDefault="003229D5" w:rsidP="003229D5">
      <w:pPr>
        <w:spacing w:after="0" w:line="240" w:lineRule="auto"/>
        <w:jc w:val="both"/>
        <w:rPr>
          <w:rFonts w:eastAsia="Times New Roman" w:cs="Arial"/>
        </w:rPr>
      </w:pPr>
    </w:p>
    <w:p w14:paraId="26AC9C25" w14:textId="77777777" w:rsidR="003229D5" w:rsidRPr="00307FBC" w:rsidRDefault="003229D5" w:rsidP="003229D5">
      <w:pPr>
        <w:pStyle w:val="Paragraphedeliste"/>
        <w:numPr>
          <w:ilvl w:val="0"/>
          <w:numId w:val="1"/>
        </w:numPr>
        <w:spacing w:after="0" w:line="240" w:lineRule="auto"/>
        <w:jc w:val="both"/>
        <w:rPr>
          <w:rFonts w:eastAsia="Times New Roman" w:cs="Arial"/>
          <w:b/>
        </w:rPr>
      </w:pPr>
      <w:r w:rsidRPr="00307FBC">
        <w:rPr>
          <w:rFonts w:eastAsia="Times New Roman" w:cs="Arial"/>
          <w:b/>
        </w:rPr>
        <w:t>SUR L’ILLEGALITE EXTERNE DE LA DECISION CONTESTEE</w:t>
      </w:r>
    </w:p>
    <w:p w14:paraId="46EEF94E" w14:textId="77777777" w:rsidR="0070204F" w:rsidRPr="00307FBC" w:rsidRDefault="0070204F" w:rsidP="0070204F">
      <w:pPr>
        <w:pStyle w:val="Paragraphedeliste"/>
        <w:spacing w:after="0" w:line="240" w:lineRule="auto"/>
        <w:jc w:val="both"/>
        <w:rPr>
          <w:rFonts w:eastAsia="Times New Roman" w:cs="Arial"/>
          <w:b/>
        </w:rPr>
      </w:pPr>
    </w:p>
    <w:p w14:paraId="58DEF236" w14:textId="77777777" w:rsidR="003229D5" w:rsidRPr="00307FBC" w:rsidRDefault="003229D5" w:rsidP="003229D5">
      <w:pPr>
        <w:pStyle w:val="Paragraphedeliste"/>
        <w:spacing w:after="0" w:line="240" w:lineRule="auto"/>
        <w:jc w:val="both"/>
        <w:rPr>
          <w:rFonts w:eastAsia="Times New Roman" w:cs="Arial"/>
        </w:rPr>
      </w:pPr>
    </w:p>
    <w:p w14:paraId="7BFEE964" w14:textId="77777777" w:rsidR="003229D5" w:rsidRPr="00307FBC" w:rsidRDefault="003229D5" w:rsidP="0075093B">
      <w:pPr>
        <w:spacing w:after="0" w:line="240" w:lineRule="auto"/>
        <w:jc w:val="both"/>
        <w:outlineLvl w:val="0"/>
        <w:rPr>
          <w:rFonts w:eastAsia="Times New Roman" w:cs="Arial"/>
        </w:rPr>
      </w:pPr>
      <w:r w:rsidRPr="00307FBC">
        <w:rPr>
          <w:rFonts w:eastAsia="Times New Roman" w:cs="Arial"/>
        </w:rPr>
        <w:t xml:space="preserve">Cette décision constitue une décision individuelle défavorable. </w:t>
      </w:r>
    </w:p>
    <w:p w14:paraId="7D4C911E" w14:textId="77777777" w:rsidR="003229D5" w:rsidRPr="00307FBC" w:rsidRDefault="003229D5" w:rsidP="003229D5">
      <w:pPr>
        <w:spacing w:after="0" w:line="240" w:lineRule="auto"/>
        <w:jc w:val="both"/>
        <w:rPr>
          <w:rFonts w:eastAsia="Times New Roman" w:cs="Arial"/>
        </w:rPr>
      </w:pPr>
    </w:p>
    <w:p w14:paraId="7D682C66" w14:textId="77777777" w:rsidR="003229D5" w:rsidRPr="00307FBC" w:rsidRDefault="003229D5" w:rsidP="0075093B">
      <w:pPr>
        <w:spacing w:after="0" w:line="240" w:lineRule="auto"/>
        <w:jc w:val="both"/>
        <w:outlineLvl w:val="0"/>
        <w:rPr>
          <w:rFonts w:eastAsia="Times New Roman" w:cs="Arial"/>
        </w:rPr>
      </w:pPr>
      <w:r w:rsidRPr="00307FBC">
        <w:rPr>
          <w:rFonts w:eastAsia="Times New Roman" w:cs="Arial"/>
        </w:rPr>
        <w:t xml:space="preserve">Dès lors, cette décision devait être motivée. </w:t>
      </w:r>
    </w:p>
    <w:p w14:paraId="207C32AD" w14:textId="77777777" w:rsidR="003229D5" w:rsidRPr="00307FBC" w:rsidRDefault="003229D5" w:rsidP="003229D5">
      <w:pPr>
        <w:spacing w:after="0" w:line="240" w:lineRule="auto"/>
        <w:jc w:val="both"/>
        <w:rPr>
          <w:rFonts w:eastAsia="Times New Roman" w:cs="Arial"/>
        </w:rPr>
      </w:pPr>
    </w:p>
    <w:p w14:paraId="57B0E6CC" w14:textId="77777777" w:rsidR="003229D5" w:rsidRPr="00307FBC" w:rsidRDefault="003229D5" w:rsidP="0075093B">
      <w:pPr>
        <w:spacing w:after="0" w:line="240" w:lineRule="auto"/>
        <w:jc w:val="both"/>
        <w:outlineLvl w:val="0"/>
        <w:rPr>
          <w:rFonts w:eastAsia="Times New Roman" w:cs="Arial"/>
        </w:rPr>
      </w:pPr>
      <w:r w:rsidRPr="00307FBC">
        <w:rPr>
          <w:rFonts w:eastAsia="Times New Roman" w:cs="Arial"/>
        </w:rPr>
        <w:t xml:space="preserve">La décision querellée n’étant manifestement pas motivée, cette dernière ne pourra être qu’annulée. </w:t>
      </w:r>
    </w:p>
    <w:p w14:paraId="3892F2AE" w14:textId="77777777" w:rsidR="003229D5" w:rsidRPr="00307FBC" w:rsidRDefault="003229D5" w:rsidP="003229D5">
      <w:pPr>
        <w:spacing w:after="0" w:line="240" w:lineRule="auto"/>
        <w:jc w:val="both"/>
        <w:rPr>
          <w:rFonts w:eastAsia="Times New Roman" w:cs="Arial"/>
        </w:rPr>
      </w:pPr>
    </w:p>
    <w:p w14:paraId="7874DD7E" w14:textId="77777777" w:rsidR="003229D5" w:rsidRPr="00307FBC" w:rsidRDefault="003229D5" w:rsidP="003229D5">
      <w:pPr>
        <w:pStyle w:val="Paragraphedeliste"/>
        <w:spacing w:after="0" w:line="240" w:lineRule="auto"/>
        <w:jc w:val="both"/>
        <w:rPr>
          <w:rFonts w:eastAsia="Times New Roman" w:cs="Arial"/>
          <w:b/>
        </w:rPr>
      </w:pPr>
    </w:p>
    <w:p w14:paraId="36621446" w14:textId="77777777" w:rsidR="003229D5" w:rsidRPr="00307FBC" w:rsidRDefault="003229D5" w:rsidP="003229D5">
      <w:pPr>
        <w:pStyle w:val="Paragraphedeliste"/>
        <w:numPr>
          <w:ilvl w:val="0"/>
          <w:numId w:val="1"/>
        </w:numPr>
        <w:spacing w:after="0" w:line="240" w:lineRule="auto"/>
        <w:jc w:val="both"/>
        <w:rPr>
          <w:rFonts w:eastAsia="Times New Roman" w:cs="Arial"/>
          <w:b/>
        </w:rPr>
      </w:pPr>
      <w:r w:rsidRPr="00307FBC">
        <w:rPr>
          <w:rFonts w:eastAsia="Times New Roman" w:cs="Arial"/>
          <w:b/>
        </w:rPr>
        <w:t>SUR L’ILLEGALITE INTERNE DE LA DECISION CONTESTEE</w:t>
      </w:r>
    </w:p>
    <w:p w14:paraId="6BB091AD" w14:textId="77777777" w:rsidR="0070204F" w:rsidRPr="00307FBC" w:rsidRDefault="0070204F" w:rsidP="0070204F">
      <w:pPr>
        <w:pStyle w:val="Paragraphedeliste"/>
        <w:spacing w:after="0" w:line="240" w:lineRule="auto"/>
        <w:jc w:val="both"/>
        <w:rPr>
          <w:rFonts w:eastAsia="Times New Roman" w:cs="Arial"/>
          <w:b/>
        </w:rPr>
      </w:pPr>
    </w:p>
    <w:p w14:paraId="06558496"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Le droit pour les enfants et les adolescents handicapés à être scolarisés en priorité en milieu scolaire ordinaire a été posé par le législateur de la loi d'orientation du 30 juin 1975 en faveur des personnes handicapées. </w:t>
      </w:r>
    </w:p>
    <w:p w14:paraId="19CC2E09"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La loi n° 89-86 d'orientation sur l'éducation du 10 juillet 1989, complétée par divers textes, est venue préciser et réaffirmer depuis cette volonté du législateur. </w:t>
      </w:r>
    </w:p>
    <w:p w14:paraId="490EC3F2" w14:textId="77777777" w:rsidR="00357495" w:rsidRPr="008B1F63" w:rsidRDefault="00357495" w:rsidP="00357495">
      <w:pPr>
        <w:spacing w:after="0" w:line="240" w:lineRule="auto"/>
        <w:jc w:val="both"/>
        <w:rPr>
          <w:rFonts w:eastAsia="Times New Roman" w:cs="Arial"/>
        </w:rPr>
      </w:pPr>
    </w:p>
    <w:p w14:paraId="567FE8FD" w14:textId="77777777" w:rsidR="00357495" w:rsidRPr="008B1F63" w:rsidRDefault="00357495" w:rsidP="00357495">
      <w:pPr>
        <w:spacing w:after="0" w:line="240" w:lineRule="auto"/>
        <w:jc w:val="both"/>
        <w:rPr>
          <w:rFonts w:eastAsia="Times New Roman" w:cs="Arial"/>
        </w:rPr>
      </w:pPr>
      <w:r w:rsidRPr="008B1F63">
        <w:rPr>
          <w:rFonts w:eastAsia="Times New Roman" w:cs="Arial"/>
        </w:rPr>
        <w:t>Ainsi, la loi dite "Handicap" en date du 11 février 2005 a reconnu le droit à l'éducation garantie à chacun "</w:t>
      </w:r>
      <w:r w:rsidRPr="008B1F63">
        <w:rPr>
          <w:rFonts w:eastAsia="Times New Roman" w:cs="Arial"/>
          <w:i/>
        </w:rPr>
        <w:t xml:space="preserve">afin de permettre à chaque enfant un développement de sa personnalité, d'élever son niveau de formation initial et </w:t>
      </w:r>
      <w:bookmarkStart w:id="1" w:name="4"/>
      <w:bookmarkEnd w:id="1"/>
      <w:r w:rsidRPr="008B1F63">
        <w:rPr>
          <w:rFonts w:eastAsia="Times New Roman" w:cs="Arial"/>
          <w:i/>
        </w:rPr>
        <w:t>continu, de s'insérer dans la vie sociale et professionnelle, d'exercer sa citoyenneté</w:t>
      </w:r>
      <w:r w:rsidRPr="008B1F63">
        <w:rPr>
          <w:rFonts w:eastAsia="Times New Roman" w:cs="Arial"/>
        </w:rPr>
        <w:t xml:space="preserve">". </w:t>
      </w:r>
    </w:p>
    <w:p w14:paraId="041A1618" w14:textId="77777777" w:rsidR="00357495" w:rsidRPr="008B1F63" w:rsidRDefault="00357495" w:rsidP="00357495">
      <w:pPr>
        <w:spacing w:after="0" w:line="240" w:lineRule="auto"/>
        <w:jc w:val="both"/>
        <w:rPr>
          <w:rFonts w:eastAsia="Times New Roman" w:cs="Arial"/>
        </w:rPr>
      </w:pPr>
    </w:p>
    <w:p w14:paraId="77CE4492"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Selon l’article L.112-1 du Code de l’éducation, les enfants et adolescents handicapés sont soumis à l’obligation éducative. Ils satisfont à cette obligation en recevant soit une éducation ordinaire, soit, à défaut, une éducation spéciale, déterminée en fonction des besoins particuliers de chacun d’eux par la commission départementale d’éducation spéciale. Le service public de l’éducation assure donc une formation scolaire, professionnelle ou supérieure aux enfants présentant un handicap ou un trouble de la santé invalidant. </w:t>
      </w:r>
    </w:p>
    <w:p w14:paraId="3F299B89" w14:textId="77777777" w:rsidR="00357495" w:rsidRPr="008B1F63" w:rsidRDefault="00357495" w:rsidP="00357495">
      <w:pPr>
        <w:spacing w:after="0" w:line="240" w:lineRule="auto"/>
        <w:jc w:val="both"/>
        <w:rPr>
          <w:rFonts w:eastAsia="Times New Roman" w:cs="Arial"/>
        </w:rPr>
      </w:pPr>
    </w:p>
    <w:p w14:paraId="3A40B268" w14:textId="77777777" w:rsidR="00357495" w:rsidRPr="008B1F63" w:rsidRDefault="00357495" w:rsidP="0075093B">
      <w:pPr>
        <w:spacing w:after="0" w:line="240" w:lineRule="auto"/>
        <w:jc w:val="both"/>
        <w:outlineLvl w:val="0"/>
        <w:rPr>
          <w:rFonts w:eastAsia="Times New Roman" w:cs="Arial"/>
          <w:u w:val="single"/>
        </w:rPr>
      </w:pPr>
      <w:r w:rsidRPr="008B1F63">
        <w:rPr>
          <w:rFonts w:eastAsia="Times New Roman" w:cs="Arial"/>
          <w:u w:val="single"/>
        </w:rPr>
        <w:t>La priorité doit être de donner une scolarisation en milieu ordinaire.</w:t>
      </w:r>
    </w:p>
    <w:p w14:paraId="5F091F3D" w14:textId="77777777" w:rsidR="00357495" w:rsidRPr="008B1F63" w:rsidRDefault="00357495" w:rsidP="00357495">
      <w:pPr>
        <w:spacing w:after="0" w:line="240" w:lineRule="auto"/>
        <w:jc w:val="both"/>
        <w:rPr>
          <w:rFonts w:eastAsia="Times New Roman" w:cs="Arial"/>
        </w:rPr>
      </w:pPr>
    </w:p>
    <w:p w14:paraId="7C0050BB" w14:textId="08270645" w:rsidR="00357495" w:rsidRPr="008B1F63" w:rsidRDefault="00357495" w:rsidP="00357495">
      <w:pPr>
        <w:spacing w:after="0" w:line="240" w:lineRule="auto"/>
        <w:jc w:val="both"/>
        <w:rPr>
          <w:rFonts w:eastAsia="Times New Roman" w:cs="Arial"/>
        </w:rPr>
      </w:pPr>
      <w:r w:rsidRPr="008B1F63">
        <w:rPr>
          <w:rFonts w:eastAsia="Times New Roman" w:cs="Arial"/>
        </w:rPr>
        <w:t xml:space="preserve">Ainsi, des </w:t>
      </w:r>
      <w:r w:rsidR="0075093B">
        <w:rPr>
          <w:rFonts w:eastAsia="Times New Roman" w:cs="Arial"/>
        </w:rPr>
        <w:t>a</w:t>
      </w:r>
      <w:r w:rsidRPr="008B1F63">
        <w:rPr>
          <w:rFonts w:eastAsia="Times New Roman" w:cs="Arial"/>
        </w:rPr>
        <w:t>ccompagnants des élèves en situation de handicap</w:t>
      </w:r>
      <w:r w:rsidR="0075093B">
        <w:rPr>
          <w:rFonts w:eastAsia="Times New Roman" w:cs="Arial"/>
        </w:rPr>
        <w:t xml:space="preserve"> (AESH)</w:t>
      </w:r>
      <w:r w:rsidRPr="008B1F63">
        <w:rPr>
          <w:rFonts w:eastAsia="Times New Roman" w:cs="Arial"/>
        </w:rPr>
        <w:t xml:space="preserve"> interviennent auprès d'un élève handicapé qui ne dispose pas d'une autonomie suffisante pour effectuer les actes de la vie courante à l'école. </w:t>
      </w:r>
    </w:p>
    <w:p w14:paraId="33261384" w14:textId="77777777" w:rsidR="00357495" w:rsidRPr="008B1F63" w:rsidRDefault="00357495" w:rsidP="00357495">
      <w:pPr>
        <w:spacing w:after="0" w:line="240" w:lineRule="auto"/>
        <w:jc w:val="both"/>
        <w:rPr>
          <w:rFonts w:eastAsia="Times New Roman" w:cs="Arial"/>
        </w:rPr>
      </w:pPr>
    </w:p>
    <w:p w14:paraId="56C772E9"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Le besoin d'aide est apprécié par la Commission des droits et d'autonomie des personnes handicapées (la C.D.A.P.H.). </w:t>
      </w:r>
    </w:p>
    <w:p w14:paraId="3C904B2E" w14:textId="77777777" w:rsidR="00357495" w:rsidRPr="008B1F63" w:rsidRDefault="00357495" w:rsidP="00357495">
      <w:pPr>
        <w:spacing w:after="0" w:line="240" w:lineRule="auto"/>
        <w:jc w:val="both"/>
        <w:rPr>
          <w:rFonts w:eastAsia="Times New Roman" w:cs="Arial"/>
        </w:rPr>
      </w:pPr>
    </w:p>
    <w:p w14:paraId="06A10B31" w14:textId="77777777" w:rsidR="00357495" w:rsidRPr="008B1F63" w:rsidRDefault="00357495" w:rsidP="00357495">
      <w:pPr>
        <w:spacing w:after="0" w:line="240" w:lineRule="auto"/>
        <w:jc w:val="both"/>
        <w:rPr>
          <w:rFonts w:eastAsia="Times New Roman" w:cs="Arial"/>
        </w:rPr>
      </w:pPr>
      <w:r w:rsidRPr="008B1F63">
        <w:rPr>
          <w:rFonts w:eastAsia="Times New Roman" w:cs="Arial"/>
        </w:rPr>
        <w:t>L’Etat est donc tenu d’une obligation d’offrir à l’ensemble des enfants une prise en charge éducative adaptée à leurs aptitudes et à leurs besoins. Il s’agit d’une obligation de résultat comme le rappelle la circulaire du Ministère de l’Education Nationale n°2009-135 du 5 octobre 2009 : « l’Etat a, en matière de réponse aux besoins d’accompagnement scolaire des enfants handicapés, une obligation de résultat ».</w:t>
      </w:r>
    </w:p>
    <w:p w14:paraId="6B37045B" w14:textId="77777777" w:rsidR="00357495" w:rsidRPr="008B1F63" w:rsidRDefault="00357495" w:rsidP="00357495">
      <w:pPr>
        <w:spacing w:after="0" w:line="240" w:lineRule="auto"/>
        <w:jc w:val="both"/>
        <w:rPr>
          <w:rFonts w:eastAsia="Times New Roman" w:cs="Arial"/>
        </w:rPr>
      </w:pPr>
    </w:p>
    <w:p w14:paraId="38AF01AF" w14:textId="3982935B" w:rsidR="00357495" w:rsidRPr="006317DD" w:rsidRDefault="00357495" w:rsidP="006317DD">
      <w:pPr>
        <w:rPr>
          <w:rFonts w:eastAsia="Times New Roman" w:cs="Times New Roman"/>
          <w:i/>
        </w:rPr>
      </w:pPr>
      <w:r w:rsidRPr="008B1F63">
        <w:rPr>
          <w:rFonts w:eastAsia="Times New Roman" w:cs="Arial"/>
          <w:i/>
        </w:rPr>
        <w:t xml:space="preserve">Selon l'article L.351-3 du Code de l'éducation, </w:t>
      </w:r>
      <w:r w:rsidRPr="008B1F63">
        <w:rPr>
          <w:i/>
        </w:rPr>
        <w:t xml:space="preserve">lorsque la commission mentionnée à l'article L. 146-9 du code de l'action sociale et des familles constate que la </w:t>
      </w:r>
      <w:r w:rsidRPr="006317DD">
        <w:rPr>
          <w:i/>
        </w:rPr>
        <w:t xml:space="preserve">scolarisation d'un enfant dans une classe de l'enseignement public ou d'un établissement mentionné à l'article L. 442-1 du présent code requiert une aide individuelle dont elle détermine la quotité horaire, </w:t>
      </w:r>
      <w:r w:rsidR="006317DD" w:rsidRPr="006317DD">
        <w:rPr>
          <w:rFonts w:eastAsia="Times New Roman" w:cs="Arial"/>
          <w:i/>
          <w:color w:val="000000"/>
          <w:shd w:val="clear" w:color="auto" w:fill="FFFFFF"/>
        </w:rPr>
        <w:t>cette aide peut notamment être apportée par un accompagnant des élèves en situation de handicap recruté conformément aux modalités définies à </w:t>
      </w:r>
      <w:hyperlink r:id="rId6" w:history="1">
        <w:r w:rsidR="006317DD" w:rsidRPr="006317DD">
          <w:rPr>
            <w:rFonts w:eastAsia="Times New Roman" w:cs="Arial"/>
            <w:i/>
            <w:color w:val="336699"/>
            <w:u w:val="single"/>
            <w:shd w:val="clear" w:color="auto" w:fill="FFFFFF"/>
          </w:rPr>
          <w:t>l'article L. 917-1</w:t>
        </w:r>
      </w:hyperlink>
      <w:r w:rsidR="006317DD" w:rsidRPr="006317DD">
        <w:rPr>
          <w:rFonts w:eastAsia="Times New Roman" w:cs="Arial"/>
          <w:i/>
          <w:color w:val="000000"/>
          <w:shd w:val="clear" w:color="auto" w:fill="FFFFFF"/>
        </w:rPr>
        <w:t>.</w:t>
      </w:r>
    </w:p>
    <w:p w14:paraId="2CE05C55" w14:textId="2A5F14B7" w:rsidR="00357495" w:rsidRPr="003951FF" w:rsidRDefault="00357495" w:rsidP="0003684C">
      <w:pPr>
        <w:pStyle w:val="NormalWeb"/>
        <w:jc w:val="both"/>
        <w:rPr>
          <w:rFonts w:asciiTheme="minorHAnsi" w:hAnsiTheme="minorHAnsi"/>
          <w:i/>
          <w:sz w:val="22"/>
          <w:szCs w:val="22"/>
          <w:highlight w:val="yellow"/>
        </w:rPr>
      </w:pPr>
      <w:r w:rsidRPr="003951FF">
        <w:rPr>
          <w:rFonts w:asciiTheme="minorHAnsi" w:hAnsiTheme="minorHAnsi" w:cs="Arial"/>
          <w:sz w:val="22"/>
          <w:szCs w:val="22"/>
          <w:highlight w:val="yellow"/>
        </w:rPr>
        <w:t xml:space="preserve">De plus, </w:t>
      </w:r>
      <w:r w:rsidR="0003684C" w:rsidRPr="0003684C">
        <w:rPr>
          <w:rFonts w:asciiTheme="minorHAnsi" w:hAnsiTheme="minorHAnsi" w:cs="Arial"/>
          <w:b/>
          <w:sz w:val="22"/>
          <w:szCs w:val="22"/>
          <w:highlight w:val="yellow"/>
        </w:rPr>
        <w:t>nom de l’enfant</w:t>
      </w:r>
      <w:r w:rsidRPr="003951FF">
        <w:rPr>
          <w:rFonts w:asciiTheme="minorHAnsi" w:hAnsiTheme="minorHAnsi" w:cs="Arial"/>
          <w:sz w:val="22"/>
          <w:szCs w:val="22"/>
          <w:highlight w:val="yellow"/>
        </w:rPr>
        <w:t xml:space="preserve"> est atteint d’un trouble du spectre autistique. Or, selon l’article L246-1 du Code de l’Action Sociale et des Familles, </w:t>
      </w:r>
      <w:r w:rsidRPr="003951FF">
        <w:rPr>
          <w:rFonts w:asciiTheme="minorHAnsi" w:hAnsiTheme="minorHAnsi"/>
          <w:i/>
          <w:sz w:val="22"/>
          <w:szCs w:val="22"/>
          <w:highlight w:val="yellow"/>
        </w:rPr>
        <w:t xml:space="preserve">« toute personne atteinte du handicap résultant du syndrome autistique et des troubles qui lui sont apparentés bénéficie, </w:t>
      </w:r>
      <w:r w:rsidRPr="003951FF">
        <w:rPr>
          <w:rFonts w:asciiTheme="minorHAnsi" w:hAnsiTheme="minorHAnsi"/>
          <w:b/>
          <w:i/>
          <w:sz w:val="22"/>
          <w:szCs w:val="22"/>
          <w:highlight w:val="yellow"/>
          <w:u w:val="single"/>
        </w:rPr>
        <w:t>quel que soit son âge</w:t>
      </w:r>
      <w:r w:rsidRPr="003951FF">
        <w:rPr>
          <w:rFonts w:asciiTheme="minorHAnsi" w:hAnsiTheme="minorHAnsi"/>
          <w:i/>
          <w:sz w:val="22"/>
          <w:szCs w:val="22"/>
          <w:highlight w:val="yellow"/>
        </w:rPr>
        <w:t>, d'une prise en charge pluridisciplinaire qui tient compte de ses besoins et difficultés spécifiques.</w:t>
      </w:r>
    </w:p>
    <w:p w14:paraId="364306D7" w14:textId="06B8CE79" w:rsidR="00357495" w:rsidRPr="008B1F63" w:rsidRDefault="00357495" w:rsidP="00357495">
      <w:pPr>
        <w:pStyle w:val="NormalWeb"/>
        <w:jc w:val="both"/>
        <w:rPr>
          <w:rFonts w:asciiTheme="minorHAnsi" w:hAnsiTheme="minorHAnsi"/>
          <w:i/>
          <w:sz w:val="22"/>
          <w:szCs w:val="22"/>
        </w:rPr>
      </w:pPr>
      <w:r w:rsidRPr="003951FF">
        <w:rPr>
          <w:rFonts w:asciiTheme="minorHAnsi" w:hAnsiTheme="minorHAnsi"/>
          <w:i/>
          <w:sz w:val="22"/>
          <w:szCs w:val="22"/>
          <w:highlight w:val="yellow"/>
        </w:rPr>
        <w:t xml:space="preserve">Adaptée à l'état et à l'âge de la personne, cette prise en charge peut être d'ordre </w:t>
      </w:r>
      <w:r w:rsidRPr="003951FF">
        <w:rPr>
          <w:rFonts w:asciiTheme="minorHAnsi" w:hAnsiTheme="minorHAnsi"/>
          <w:b/>
          <w:i/>
          <w:sz w:val="22"/>
          <w:szCs w:val="22"/>
          <w:highlight w:val="yellow"/>
          <w:u w:val="single"/>
        </w:rPr>
        <w:t>éducatif</w:t>
      </w:r>
      <w:r w:rsidRPr="003951FF">
        <w:rPr>
          <w:rFonts w:asciiTheme="minorHAnsi" w:hAnsiTheme="minorHAnsi"/>
          <w:i/>
          <w:sz w:val="22"/>
          <w:szCs w:val="22"/>
          <w:highlight w:val="yellow"/>
        </w:rPr>
        <w:t>, pédagogique, thérapeutique et social. »</w:t>
      </w:r>
      <w:r w:rsidRPr="003951FF">
        <w:rPr>
          <w:rFonts w:asciiTheme="minorHAnsi" w:hAnsiTheme="minorHAnsi"/>
          <w:color w:val="FF0000"/>
          <w:sz w:val="22"/>
          <w:szCs w:val="22"/>
        </w:rPr>
        <w:t xml:space="preserve"> </w:t>
      </w:r>
      <w:r w:rsidR="0003684C">
        <w:rPr>
          <w:rFonts w:asciiTheme="minorHAnsi" w:hAnsiTheme="minorHAnsi"/>
          <w:color w:val="FF0000"/>
          <w:sz w:val="22"/>
          <w:szCs w:val="22"/>
        </w:rPr>
        <w:t xml:space="preserve">  à</w:t>
      </w:r>
      <w:r w:rsidRPr="003951FF">
        <w:rPr>
          <w:rFonts w:asciiTheme="minorHAnsi" w:hAnsiTheme="minorHAnsi"/>
          <w:color w:val="FF0000"/>
          <w:sz w:val="22"/>
          <w:szCs w:val="22"/>
        </w:rPr>
        <w:t xml:space="preserve"> supprimer si l’enfant a un autre type de handicap.</w:t>
      </w:r>
    </w:p>
    <w:p w14:paraId="446A3767"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Il ressort de l'ensemble de ces dispositions que, d'une part, le droit à l'éducation est garanti à chacun quelles que soient les différences de situation et, d'autre part, que l'obligation scolaire s'applique à tous, les difficultés particulières que rencontrent des enfants en situation handicap ne peuvent avoir pour effet ni de les priver de ce droit ni de faire obstacle au respect de cette obligation. </w:t>
      </w:r>
    </w:p>
    <w:p w14:paraId="39DC4754" w14:textId="77777777" w:rsidR="00357495" w:rsidRPr="008B1F63" w:rsidRDefault="00357495" w:rsidP="00357495">
      <w:pPr>
        <w:spacing w:after="0" w:line="240" w:lineRule="auto"/>
        <w:jc w:val="both"/>
        <w:rPr>
          <w:rFonts w:eastAsia="Times New Roman" w:cs="Arial"/>
        </w:rPr>
      </w:pPr>
    </w:p>
    <w:p w14:paraId="52A94458" w14:textId="25BF458C" w:rsidR="00357495" w:rsidRPr="008B1F63" w:rsidRDefault="00357495" w:rsidP="00357495">
      <w:pPr>
        <w:spacing w:after="0" w:line="240" w:lineRule="auto"/>
        <w:jc w:val="both"/>
        <w:rPr>
          <w:rFonts w:eastAsia="Times New Roman" w:cs="Arial"/>
        </w:rPr>
      </w:pPr>
      <w:r w:rsidRPr="003951FF">
        <w:rPr>
          <w:rFonts w:eastAsia="Times New Roman" w:cs="Arial"/>
          <w:highlight w:val="yellow"/>
        </w:rPr>
        <w:t>Il ressort également que, quel que soit son âge, le droit à l’éducation est garanti à toute personne autiste.</w:t>
      </w:r>
      <w:r w:rsidRPr="003951FF">
        <w:rPr>
          <w:color w:val="FF0000"/>
        </w:rPr>
        <w:t xml:space="preserve"> </w:t>
      </w:r>
      <w:r w:rsidR="00E33524">
        <w:rPr>
          <w:color w:val="FF0000"/>
        </w:rPr>
        <w:t xml:space="preserve">  </w:t>
      </w:r>
      <w:r w:rsidR="00E33524">
        <w:rPr>
          <w:color w:val="FF0000"/>
        </w:rPr>
        <w:br/>
        <w:t>à</w:t>
      </w:r>
      <w:r w:rsidRPr="003951FF">
        <w:rPr>
          <w:color w:val="FF0000"/>
        </w:rPr>
        <w:t xml:space="preserve"> supprimer si l’enfant a un autre type de handicap.</w:t>
      </w:r>
    </w:p>
    <w:p w14:paraId="42AFD436" w14:textId="77777777" w:rsidR="00357495" w:rsidRPr="008B1F63" w:rsidRDefault="00357495" w:rsidP="00357495">
      <w:pPr>
        <w:spacing w:after="0" w:line="240" w:lineRule="auto"/>
        <w:jc w:val="both"/>
        <w:rPr>
          <w:rFonts w:eastAsia="Times New Roman" w:cs="Arial"/>
        </w:rPr>
      </w:pPr>
    </w:p>
    <w:p w14:paraId="6E6CF933"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Dès lors, il incombe à l'Etat de prendre l'ensemble des mesures et de mettre en œuvre les moyens nécessaires pour que ce droit et cette obligation aient, pour les enfants en situation de handicap, un caractère effectif. </w:t>
      </w:r>
    </w:p>
    <w:p w14:paraId="65A114B5" w14:textId="77777777" w:rsidR="00357495" w:rsidRPr="008B1F63" w:rsidRDefault="00357495" w:rsidP="00357495">
      <w:pPr>
        <w:spacing w:after="0" w:line="240" w:lineRule="auto"/>
        <w:jc w:val="both"/>
        <w:rPr>
          <w:rFonts w:eastAsia="Times New Roman" w:cs="Arial"/>
        </w:rPr>
      </w:pPr>
    </w:p>
    <w:p w14:paraId="6FA45545"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Sur ce point, la jurisprudence administrative est constante et considère que l'absence de prise en charge éducative d'un enfant est constitutive d'une faute de l'Etat : </w:t>
      </w:r>
    </w:p>
    <w:p w14:paraId="0E681907" w14:textId="77777777" w:rsidR="00357495" w:rsidRPr="008B1F63" w:rsidRDefault="00357495" w:rsidP="00357495">
      <w:pPr>
        <w:spacing w:after="0" w:line="240" w:lineRule="auto"/>
        <w:jc w:val="both"/>
        <w:rPr>
          <w:rFonts w:eastAsia="Times New Roman" w:cs="Arial"/>
        </w:rPr>
      </w:pPr>
    </w:p>
    <w:p w14:paraId="4A94D6D1" w14:textId="77777777" w:rsidR="00357495" w:rsidRPr="008B1F63" w:rsidRDefault="00357495" w:rsidP="00357495">
      <w:pPr>
        <w:spacing w:after="0" w:line="240" w:lineRule="auto"/>
        <w:jc w:val="both"/>
        <w:rPr>
          <w:rFonts w:eastAsia="Times New Roman" w:cs="Arial"/>
          <w:i/>
        </w:rPr>
      </w:pPr>
      <w:r w:rsidRPr="008B1F63">
        <w:rPr>
          <w:rFonts w:eastAsia="Times New Roman" w:cs="Arial"/>
          <w:i/>
        </w:rPr>
        <w:t>"« 1. Considérant qu'il résulte de l'ensemble de ces dispositions que l'Etat a l'obligation légale d'offrir aux enfants handicapés une prise en charge éducative au moins équivalente, compte tenu de leurs besoins propres, à celles dispensées aux enfants scolarisés en</w:t>
      </w:r>
      <w:bookmarkStart w:id="2" w:name="5"/>
      <w:bookmarkEnd w:id="2"/>
      <w:r w:rsidRPr="008B1F63">
        <w:rPr>
          <w:rFonts w:eastAsia="Times New Roman" w:cs="Arial"/>
          <w:i/>
        </w:rPr>
        <w:t xml:space="preserve"> milieu ordinaire ; Que le manquement à cette obligation légale, qui a pour effet de priver un enfant de l'éducation appropriée à ses besoins est constitutive d'une faute de nature à engager la responsabilité de l'Etat sans que celui-ci puisse utilement se prévaloir de l'insuffisance des moyens budgétaires, de la carence d'autres personnes publiques ou privées dans l'offre d'établissements adaptés ou de la circonstance que des allocations sont accordées au parents d'enfants handicapés pour les aider à assurer leur éducation"</w:t>
      </w:r>
    </w:p>
    <w:p w14:paraId="4B01EF62" w14:textId="77777777" w:rsidR="00357495" w:rsidRPr="008B1F63" w:rsidRDefault="00357495" w:rsidP="00357495">
      <w:pPr>
        <w:spacing w:after="0" w:line="240" w:lineRule="auto"/>
        <w:jc w:val="both"/>
        <w:rPr>
          <w:rFonts w:eastAsia="Times New Roman" w:cs="Arial"/>
        </w:rPr>
      </w:pPr>
      <w:r w:rsidRPr="008B1F63">
        <w:rPr>
          <w:rFonts w:eastAsia="Times New Roman" w:cs="Arial"/>
        </w:rPr>
        <w:t>(CAA PARIS, 11 juillet 2007, n° 06PA01579 – CAA MARSEILLE, 31 janvier 2008, n° 05MA01886 – TA CERGY-PONTOISE, 12 décembre 2008, n° 0408765 – CE, 8 avril 2009, n° 3114434).</w:t>
      </w:r>
    </w:p>
    <w:p w14:paraId="24496C2D" w14:textId="77777777" w:rsidR="00357495" w:rsidRPr="008B1F63" w:rsidRDefault="00357495" w:rsidP="00357495">
      <w:pPr>
        <w:spacing w:after="0" w:line="240" w:lineRule="auto"/>
        <w:jc w:val="both"/>
        <w:rPr>
          <w:rFonts w:eastAsia="Times New Roman" w:cs="Arial"/>
        </w:rPr>
      </w:pPr>
    </w:p>
    <w:p w14:paraId="2FC7D191" w14:textId="77777777" w:rsidR="00357495" w:rsidRPr="008B1F63" w:rsidRDefault="00357495" w:rsidP="00357495">
      <w:pPr>
        <w:autoSpaceDE w:val="0"/>
        <w:autoSpaceDN w:val="0"/>
        <w:adjustRightInd w:val="0"/>
        <w:spacing w:after="0" w:line="240" w:lineRule="auto"/>
        <w:jc w:val="both"/>
        <w:rPr>
          <w:rFonts w:cs="TimesNewRomanPSMT"/>
          <w:i/>
        </w:rPr>
      </w:pPr>
      <w:r w:rsidRPr="008B1F63">
        <w:rPr>
          <w:rFonts w:eastAsia="Times New Roman" w:cs="Arial"/>
          <w:i/>
        </w:rPr>
        <w:lastRenderedPageBreak/>
        <w:t>« </w:t>
      </w:r>
      <w:r w:rsidRPr="008B1F63">
        <w:rPr>
          <w:rFonts w:cs="TimesNewRomanPSMT"/>
          <w:i/>
        </w:rPr>
        <w:t xml:space="preserve">2. Considérant que l’égal accès à l’instruction est garanti par le treizième alinéa du préambule de la Constitution de 1946, auquel se réfère celui de la Constitution de 1958 ; que ce droit, confirmé par l'article 2 du premier protocole additionnel à la convention européenne de sauvegarde des droits de l'homme et des libertés fondamentales, est en outre rappelé à l’article L. 111-1 du code de l’éducation, qui énonce que « </w:t>
      </w:r>
      <w:r w:rsidRPr="008B1F63">
        <w:rPr>
          <w:rFonts w:cs="TimesNewRomanPS-ItalicMT"/>
          <w:i/>
          <w:iCs/>
        </w:rPr>
        <w:t xml:space="preserve">le droit à l'éducation est garanti à chacun </w:t>
      </w:r>
      <w:r w:rsidRPr="008B1F63">
        <w:rPr>
          <w:rFonts w:cs="TimesNewRomanPSMT"/>
          <w:i/>
        </w:rPr>
        <w:t>» et, s’agissant des enfants présentant un handicap ou un trouble de la santé invalidant, à l’article L. 112-1 du même code, selon lequel le service public de l'éducation leur assure une formation scolaire adaptée (…)</w:t>
      </w:r>
    </w:p>
    <w:p w14:paraId="1FBF6BA3" w14:textId="77777777" w:rsidR="00357495" w:rsidRPr="008B1F63" w:rsidRDefault="00357495" w:rsidP="00357495">
      <w:pPr>
        <w:autoSpaceDE w:val="0"/>
        <w:autoSpaceDN w:val="0"/>
        <w:adjustRightInd w:val="0"/>
        <w:spacing w:after="0" w:line="240" w:lineRule="auto"/>
        <w:rPr>
          <w:rFonts w:cs="TimesNewRomanPSMT"/>
          <w:i/>
        </w:rPr>
      </w:pPr>
    </w:p>
    <w:p w14:paraId="0D911C64" w14:textId="77777777" w:rsidR="00357495" w:rsidRPr="008B1F63" w:rsidRDefault="00357495" w:rsidP="00357495">
      <w:pPr>
        <w:autoSpaceDE w:val="0"/>
        <w:autoSpaceDN w:val="0"/>
        <w:adjustRightInd w:val="0"/>
        <w:spacing w:after="0" w:line="240" w:lineRule="auto"/>
        <w:jc w:val="both"/>
        <w:rPr>
          <w:rFonts w:cs="TimesNewRomanPSMT"/>
          <w:i/>
        </w:rPr>
      </w:pPr>
      <w:r w:rsidRPr="008B1F63">
        <w:rPr>
          <w:rFonts w:cs="TimesNewRomanPSMT"/>
          <w:i/>
        </w:rPr>
        <w:t>3. Considérant que la privation pour un enfant, notamment s’il souffre d’un handicap, de toute possibilité de bénéficier d’une scolarisation ou d’une formation scolaire adaptée, selon les modalités que le législateur a définies afin d’assurer le respect de l’exigence constitutionnelle d’égal accès à l’instruction, est susceptible de constituer une atteinte grave et manifestement illégale à une liberté fondamentale, au sens de l’article L. 521-2 du code de justice administrative, pouvant justifier l’intervention du juge des référés sur le fondement de cet article, sous réserve qu’une urgence particulière rende nécessaire l’intervention d’une mesure de sauvegarde dans les quarante-huit heures ; (…)</w:t>
      </w:r>
    </w:p>
    <w:p w14:paraId="12FAE972" w14:textId="77777777" w:rsidR="00357495" w:rsidRPr="008B1F63" w:rsidRDefault="00357495" w:rsidP="00357495">
      <w:pPr>
        <w:autoSpaceDE w:val="0"/>
        <w:autoSpaceDN w:val="0"/>
        <w:adjustRightInd w:val="0"/>
        <w:spacing w:after="0" w:line="240" w:lineRule="auto"/>
        <w:jc w:val="both"/>
        <w:rPr>
          <w:rFonts w:cs="TimesNewRomanPSMT"/>
          <w:i/>
        </w:rPr>
      </w:pPr>
      <w:r w:rsidRPr="008B1F63">
        <w:rPr>
          <w:rFonts w:cs="TimesNewRomanPSMT"/>
          <w:i/>
        </w:rPr>
        <w:t>(TA Versailles, 21 janvier 2015, n°1500251)</w:t>
      </w:r>
    </w:p>
    <w:p w14:paraId="3EDA67F9" w14:textId="77777777" w:rsidR="00357495" w:rsidRPr="008B1F63" w:rsidRDefault="00357495" w:rsidP="00357495">
      <w:pPr>
        <w:spacing w:after="0" w:line="240" w:lineRule="auto"/>
        <w:jc w:val="both"/>
        <w:rPr>
          <w:rFonts w:eastAsia="Times New Roman" w:cs="Arial"/>
        </w:rPr>
      </w:pPr>
    </w:p>
    <w:p w14:paraId="5BD37FB7"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Il ressort donc de l'ensemble de ces éléments que l'Administration ne peut pas, ainsi que le rappelle la Haute Cour Administrative, pour se soustraire à cette responsabilité, mettre en avant l'insuffisance des structures d'accueil existantes, ou la carence d'autres personnes privées ou publiques. </w:t>
      </w:r>
    </w:p>
    <w:p w14:paraId="5BD77B87" w14:textId="77777777" w:rsidR="00357495" w:rsidRPr="008B1F63" w:rsidRDefault="00357495" w:rsidP="00357495">
      <w:pPr>
        <w:spacing w:after="0" w:line="240" w:lineRule="auto"/>
        <w:jc w:val="both"/>
        <w:rPr>
          <w:rFonts w:eastAsia="Times New Roman" w:cs="Arial"/>
        </w:rPr>
      </w:pPr>
    </w:p>
    <w:p w14:paraId="74AAC108" w14:textId="77777777" w:rsidR="00357495" w:rsidRPr="008B1F63" w:rsidRDefault="00357495" w:rsidP="00357495">
      <w:pPr>
        <w:spacing w:after="0" w:line="240" w:lineRule="auto"/>
        <w:jc w:val="both"/>
        <w:rPr>
          <w:rFonts w:eastAsia="Times New Roman" w:cs="Arial"/>
        </w:rPr>
      </w:pPr>
      <w:r w:rsidRPr="008B1F63">
        <w:rPr>
          <w:rFonts w:eastAsia="Times New Roman" w:cs="Arial"/>
        </w:rPr>
        <w:t xml:space="preserve">La décision implicite est parfaitement illégale puisque l'Etat n'offre pas aux enfants en situation de handicap une prise en charge éducative équivalente aux enfants scolarisés en milieu ordinaire. </w:t>
      </w:r>
    </w:p>
    <w:p w14:paraId="55BC4BB0" w14:textId="77777777" w:rsidR="00357495" w:rsidRPr="008B1F63" w:rsidRDefault="00357495" w:rsidP="00357495">
      <w:pPr>
        <w:spacing w:after="0" w:line="240" w:lineRule="auto"/>
        <w:jc w:val="both"/>
        <w:rPr>
          <w:rFonts w:eastAsia="Times New Roman" w:cs="Arial"/>
        </w:rPr>
      </w:pPr>
    </w:p>
    <w:p w14:paraId="33B07B7A" w14:textId="77777777" w:rsidR="00357495" w:rsidRPr="003456D1" w:rsidRDefault="00357495" w:rsidP="0075093B">
      <w:pPr>
        <w:spacing w:after="0" w:line="240" w:lineRule="auto"/>
        <w:jc w:val="both"/>
        <w:outlineLvl w:val="0"/>
        <w:rPr>
          <w:rFonts w:eastAsia="Times New Roman" w:cs="Arial"/>
          <w:b/>
        </w:rPr>
      </w:pPr>
      <w:r w:rsidRPr="003456D1">
        <w:rPr>
          <w:rFonts w:eastAsia="Times New Roman" w:cs="Arial"/>
          <w:b/>
        </w:rPr>
        <w:t xml:space="preserve">Cette décision est parfaitement illégale. </w:t>
      </w:r>
    </w:p>
    <w:p w14:paraId="5AF095D1" w14:textId="77777777" w:rsidR="003456D1" w:rsidRDefault="003456D1" w:rsidP="00357495">
      <w:pPr>
        <w:spacing w:after="0" w:line="240" w:lineRule="auto"/>
        <w:jc w:val="both"/>
        <w:rPr>
          <w:rFonts w:eastAsia="Times New Roman" w:cs="Arial"/>
        </w:rPr>
      </w:pPr>
    </w:p>
    <w:p w14:paraId="0A8A7D66" w14:textId="77777777" w:rsidR="007A2CFE" w:rsidRDefault="007A2CFE" w:rsidP="007A2CFE">
      <w:pPr>
        <w:spacing w:after="0" w:line="240" w:lineRule="auto"/>
        <w:jc w:val="both"/>
        <w:rPr>
          <w:rFonts w:eastAsia="Times New Roman" w:cs="Arial"/>
        </w:rPr>
      </w:pPr>
      <w:r w:rsidRPr="009277D2">
        <w:rPr>
          <w:rFonts w:eastAsia="Times New Roman" w:cs="Arial"/>
          <w:b/>
        </w:rPr>
        <w:t>Le Rectorat n’accomplit nullement les diligences nécessaires pour assurer l’accompagnement de tous les élèves</w:t>
      </w:r>
      <w:r>
        <w:rPr>
          <w:rFonts w:eastAsia="Times New Roman" w:cs="Arial"/>
          <w:b/>
        </w:rPr>
        <w:t xml:space="preserve"> handicapés bénéficiant d’une n</w:t>
      </w:r>
      <w:r w:rsidRPr="009277D2">
        <w:rPr>
          <w:rFonts w:eastAsia="Times New Roman" w:cs="Arial"/>
          <w:b/>
        </w:rPr>
        <w:t xml:space="preserve">otification d’accompagnement. Le </w:t>
      </w:r>
      <w:r>
        <w:rPr>
          <w:rFonts w:eastAsia="Times New Roman" w:cs="Arial"/>
          <w:b/>
        </w:rPr>
        <w:t xml:space="preserve">Ministère de l’Education Nationale fait preuve d’une absence manifeste de diligence </w:t>
      </w:r>
      <w:r w:rsidRPr="00847A07">
        <w:rPr>
          <w:rFonts w:eastAsia="Times New Roman" w:cs="Arial"/>
          <w:bCs/>
        </w:rPr>
        <w:t>concernant l’affectation des AESH aux élèves qui bénéficient pourtant d’une notification de la MDPH</w:t>
      </w:r>
      <w:r>
        <w:rPr>
          <w:rFonts w:eastAsia="Times New Roman" w:cs="Arial"/>
          <w:b/>
        </w:rPr>
        <w:t xml:space="preserve">. </w:t>
      </w:r>
      <w:r w:rsidRPr="00847A07">
        <w:rPr>
          <w:rFonts w:eastAsia="Times New Roman" w:cs="Arial"/>
          <w:bCs/>
        </w:rPr>
        <w:t>Le rapporteur de</w:t>
      </w:r>
      <w:r>
        <w:rPr>
          <w:rFonts w:eastAsia="Times New Roman" w:cs="Arial"/>
          <w:b/>
        </w:rPr>
        <w:t xml:space="preserve"> la commission d’enquête sur les « défaillances des politiques publiques de prise en charge de la santé mentale et du handicap » a indiqué </w:t>
      </w:r>
      <w:r w:rsidRPr="00847A07">
        <w:rPr>
          <w:rFonts w:eastAsia="Times New Roman" w:cs="Arial"/>
          <w:bCs/>
        </w:rPr>
        <w:t>disposer d’éléments transmis par a direction générale de l’enseignement scolaire (Dgesco)</w:t>
      </w:r>
      <w:r>
        <w:rPr>
          <w:rFonts w:eastAsia="Times New Roman" w:cs="Arial"/>
          <w:b/>
        </w:rPr>
        <w:t xml:space="preserve"> </w:t>
      </w:r>
      <w:r w:rsidRPr="00847A07">
        <w:rPr>
          <w:rFonts w:eastAsia="Times New Roman" w:cs="Arial"/>
          <w:bCs/>
        </w:rPr>
        <w:t>faisant état,</w:t>
      </w:r>
      <w:r>
        <w:rPr>
          <w:rFonts w:eastAsia="Times New Roman" w:cs="Arial"/>
          <w:b/>
        </w:rPr>
        <w:t xml:space="preserve"> en septembre 2025, de près de 50 000 enfants sans solution d’accompagnement AESH. </w:t>
      </w:r>
      <w:r w:rsidRPr="006F24E9">
        <w:rPr>
          <w:rFonts w:eastAsia="Times New Roman" w:cs="Arial"/>
        </w:rPr>
        <w:t xml:space="preserve">(cf. </w:t>
      </w:r>
      <w:r w:rsidRPr="006F24E9">
        <w:rPr>
          <w:rFonts w:eastAsia="Times New Roman" w:cs="Arial"/>
          <w:b/>
        </w:rPr>
        <w:t>pièce 5</w:t>
      </w:r>
      <w:r>
        <w:rPr>
          <w:rFonts w:eastAsia="Times New Roman" w:cs="Arial"/>
        </w:rPr>
        <w:t xml:space="preserve">, p.9 à 11 </w:t>
      </w:r>
      <w:r w:rsidRPr="006F24E9">
        <w:rPr>
          <w:rFonts w:eastAsia="Times New Roman" w:cs="Arial"/>
        </w:rPr>
        <w:t xml:space="preserve">: </w:t>
      </w:r>
      <w:r>
        <w:rPr>
          <w:rFonts w:eastAsia="Times New Roman" w:cs="Arial"/>
        </w:rPr>
        <w:t>compte-rendu d’audition du ministre de l’Education Nationale par la Commission d’enquête sur les défaillances des politiques publiques de prise en charge de la santé mentale et du handicap, 30 octobre 2025). Le rapporteur observe que « </w:t>
      </w:r>
      <w:r w:rsidRPr="00875120">
        <w:rPr>
          <w:rFonts w:eastAsia="Times New Roman" w:cs="Arial"/>
          <w:i/>
          <w:iCs/>
        </w:rPr>
        <w:t>ce chiffre en valeur absolue est déjà considérable</w:t>
      </w:r>
      <w:r>
        <w:rPr>
          <w:rFonts w:eastAsia="Times New Roman" w:cs="Arial"/>
        </w:rPr>
        <w:t> » mais constate, en outre, une « </w:t>
      </w:r>
      <w:r w:rsidRPr="00875120">
        <w:rPr>
          <w:rFonts w:eastAsia="Times New Roman" w:cs="Arial"/>
          <w:b/>
          <w:bCs/>
          <w:i/>
          <w:iCs/>
        </w:rPr>
        <w:t>dégradation particulièrement inquiétante</w:t>
      </w:r>
      <w:r>
        <w:rPr>
          <w:rFonts w:eastAsia="Times New Roman" w:cs="Arial"/>
        </w:rPr>
        <w:t> », « </w:t>
      </w:r>
      <w:r w:rsidRPr="00875120">
        <w:rPr>
          <w:rFonts w:eastAsia="Times New Roman" w:cs="Arial"/>
          <w:i/>
          <w:iCs/>
        </w:rPr>
        <w:t>comparé à la rentrée 2024, où l’on dénombrait 36 000 enfants sans solution</w:t>
      </w:r>
      <w:r>
        <w:rPr>
          <w:rFonts w:eastAsia="Times New Roman" w:cs="Arial"/>
        </w:rPr>
        <w:t> ».</w:t>
      </w:r>
    </w:p>
    <w:p w14:paraId="7DF97556" w14:textId="77777777" w:rsidR="007A2CFE" w:rsidRDefault="007A2CFE" w:rsidP="007A2CFE">
      <w:pPr>
        <w:spacing w:after="0" w:line="240" w:lineRule="auto"/>
        <w:jc w:val="both"/>
        <w:rPr>
          <w:rFonts w:eastAsia="Times New Roman" w:cs="Arial"/>
        </w:rPr>
      </w:pPr>
    </w:p>
    <w:p w14:paraId="661768CA" w14:textId="77777777" w:rsidR="007A2CFE" w:rsidRDefault="007A2CFE" w:rsidP="007A2CFE">
      <w:pPr>
        <w:spacing w:after="0" w:line="240" w:lineRule="auto"/>
        <w:jc w:val="both"/>
        <w:rPr>
          <w:rFonts w:eastAsia="Times New Roman" w:cs="Arial"/>
        </w:rPr>
      </w:pPr>
      <w:r>
        <w:rPr>
          <w:rFonts w:eastAsia="Times New Roman" w:cs="Arial"/>
        </w:rPr>
        <w:t>Il est manifeste que le Ministère ne crée pas suffisamment de postes pour :</w:t>
      </w:r>
    </w:p>
    <w:p w14:paraId="2B1BF3A9" w14:textId="77777777" w:rsidR="007A2CFE" w:rsidRDefault="007A2CFE" w:rsidP="007A2CFE">
      <w:pPr>
        <w:pStyle w:val="Paragraphedeliste"/>
        <w:numPr>
          <w:ilvl w:val="0"/>
          <w:numId w:val="2"/>
        </w:numPr>
        <w:spacing w:after="0" w:line="240" w:lineRule="auto"/>
        <w:jc w:val="both"/>
        <w:rPr>
          <w:rFonts w:eastAsia="Times New Roman" w:cs="Arial"/>
        </w:rPr>
      </w:pPr>
      <w:r>
        <w:rPr>
          <w:rFonts w:eastAsia="Times New Roman" w:cs="Arial"/>
        </w:rPr>
        <w:t>compenser le manque d’accompagnants,</w:t>
      </w:r>
    </w:p>
    <w:p w14:paraId="6A5F71E9" w14:textId="77777777" w:rsidR="007A2CFE" w:rsidRDefault="007A2CFE" w:rsidP="007A2CFE">
      <w:pPr>
        <w:pStyle w:val="Paragraphedeliste"/>
        <w:numPr>
          <w:ilvl w:val="0"/>
          <w:numId w:val="2"/>
        </w:numPr>
        <w:spacing w:after="0" w:line="240" w:lineRule="auto"/>
        <w:jc w:val="both"/>
        <w:rPr>
          <w:rFonts w:eastAsia="Times New Roman" w:cs="Arial"/>
        </w:rPr>
      </w:pPr>
      <w:r w:rsidRPr="00B240B2">
        <w:rPr>
          <w:rFonts w:eastAsia="Times New Roman" w:cs="Arial"/>
        </w:rPr>
        <w:t>couvrir la hausse des besoins alors que le nombre d’élèves en situation de handicap augmente chaque année</w:t>
      </w:r>
      <w:r>
        <w:rPr>
          <w:rFonts w:eastAsia="Times New Roman" w:cs="Arial"/>
        </w:rPr>
        <w:t>.</w:t>
      </w:r>
    </w:p>
    <w:p w14:paraId="6AA1D77A" w14:textId="77777777" w:rsidR="007A2CFE" w:rsidRDefault="007A2CFE" w:rsidP="007A2CFE">
      <w:pPr>
        <w:spacing w:after="0" w:line="240" w:lineRule="auto"/>
        <w:jc w:val="both"/>
        <w:rPr>
          <w:rFonts w:eastAsia="Times New Roman" w:cs="Arial"/>
        </w:rPr>
      </w:pPr>
    </w:p>
    <w:p w14:paraId="5DD4495F" w14:textId="77777777" w:rsidR="007A2CFE" w:rsidRPr="00875120" w:rsidRDefault="007A2CFE" w:rsidP="007A2CFE">
      <w:pPr>
        <w:spacing w:after="0" w:line="240" w:lineRule="auto"/>
        <w:jc w:val="both"/>
        <w:rPr>
          <w:rFonts w:eastAsia="Times New Roman" w:cs="Arial"/>
        </w:rPr>
      </w:pPr>
      <w:r>
        <w:rPr>
          <w:rFonts w:eastAsia="Times New Roman" w:cs="Arial"/>
        </w:rPr>
        <w:t>L</w:t>
      </w:r>
      <w:r w:rsidRPr="00875120">
        <w:rPr>
          <w:rFonts w:eastAsia="Times New Roman" w:cs="Arial"/>
        </w:rPr>
        <w:t>e Ministre indique dans son audition auprès de la commission d’enquête que la « capacité de recrutement » des services de l’Education Nationale « ne peut suivre le rythme de cette augme</w:t>
      </w:r>
      <w:r>
        <w:rPr>
          <w:rFonts w:eastAsia="Times New Roman" w:cs="Arial"/>
        </w:rPr>
        <w:t>n</w:t>
      </w:r>
      <w:r w:rsidRPr="00875120">
        <w:rPr>
          <w:rFonts w:eastAsia="Times New Roman" w:cs="Arial"/>
        </w:rPr>
        <w:t>tation des notifications pour les enfants en situation de handicap »</w:t>
      </w:r>
      <w:r>
        <w:rPr>
          <w:rFonts w:eastAsia="Times New Roman" w:cs="Arial"/>
        </w:rPr>
        <w:t>.</w:t>
      </w:r>
    </w:p>
    <w:p w14:paraId="340FAA7D" w14:textId="77777777" w:rsidR="007A2CFE" w:rsidRPr="00F1599D" w:rsidRDefault="007A2CFE" w:rsidP="007A2CFE">
      <w:pPr>
        <w:spacing w:after="0" w:line="240" w:lineRule="auto"/>
        <w:jc w:val="both"/>
        <w:rPr>
          <w:rFonts w:eastAsia="Times New Roman" w:cs="Arial"/>
        </w:rPr>
      </w:pPr>
    </w:p>
    <w:p w14:paraId="580C433E" w14:textId="77777777" w:rsidR="007A2CFE" w:rsidRDefault="007A2CFE" w:rsidP="007A2CFE">
      <w:pPr>
        <w:autoSpaceDE w:val="0"/>
        <w:autoSpaceDN w:val="0"/>
        <w:adjustRightInd w:val="0"/>
        <w:spacing w:after="0" w:line="240" w:lineRule="auto"/>
        <w:jc w:val="both"/>
        <w:rPr>
          <w:rFonts w:eastAsia="Times New Roman" w:cs="Arial"/>
        </w:rPr>
      </w:pPr>
      <w:r>
        <w:rPr>
          <w:rFonts w:eastAsia="Times New Roman" w:cs="Arial"/>
        </w:rPr>
        <w:t>Or, cette situation est directement imputable au Ministère de l’Education Nationale et aux DSDEN qui :</w:t>
      </w:r>
    </w:p>
    <w:p w14:paraId="697C8673" w14:textId="77777777" w:rsidR="007A2CFE" w:rsidRDefault="007A2CFE" w:rsidP="007A2CFE">
      <w:pPr>
        <w:pStyle w:val="Paragraphedeliste"/>
        <w:numPr>
          <w:ilvl w:val="0"/>
          <w:numId w:val="2"/>
        </w:numPr>
        <w:autoSpaceDE w:val="0"/>
        <w:autoSpaceDN w:val="0"/>
        <w:adjustRightInd w:val="0"/>
        <w:spacing w:after="0" w:line="240" w:lineRule="auto"/>
        <w:jc w:val="both"/>
        <w:rPr>
          <w:rFonts w:eastAsia="Times New Roman" w:cs="Arial"/>
        </w:rPr>
      </w:pPr>
      <w:r w:rsidRPr="00875120">
        <w:rPr>
          <w:rFonts w:eastAsia="Times New Roman" w:cs="Arial"/>
        </w:rPr>
        <w:t>ne structure</w:t>
      </w:r>
      <w:r>
        <w:rPr>
          <w:rFonts w:eastAsia="Times New Roman" w:cs="Arial"/>
        </w:rPr>
        <w:t>nt</w:t>
      </w:r>
      <w:r w:rsidRPr="00875120">
        <w:rPr>
          <w:rFonts w:eastAsia="Times New Roman" w:cs="Arial"/>
        </w:rPr>
        <w:t xml:space="preserve"> pas </w:t>
      </w:r>
      <w:r>
        <w:rPr>
          <w:rFonts w:eastAsia="Times New Roman" w:cs="Arial"/>
        </w:rPr>
        <w:t>leur</w:t>
      </w:r>
      <w:r w:rsidRPr="00875120">
        <w:rPr>
          <w:rFonts w:eastAsia="Times New Roman" w:cs="Arial"/>
        </w:rPr>
        <w:t xml:space="preserve"> organisation pour se donner la capacité de recruter suffisamment d’AESH, </w:t>
      </w:r>
    </w:p>
    <w:p w14:paraId="693EDD51" w14:textId="77777777" w:rsidR="007A2CFE" w:rsidRDefault="007A2CFE" w:rsidP="007A2CFE">
      <w:pPr>
        <w:pStyle w:val="Paragraphedeliste"/>
        <w:numPr>
          <w:ilvl w:val="0"/>
          <w:numId w:val="2"/>
        </w:numPr>
        <w:autoSpaceDE w:val="0"/>
        <w:autoSpaceDN w:val="0"/>
        <w:adjustRightInd w:val="0"/>
        <w:spacing w:after="0" w:line="240" w:lineRule="auto"/>
        <w:jc w:val="both"/>
        <w:rPr>
          <w:rFonts w:eastAsia="Times New Roman" w:cs="Arial"/>
        </w:rPr>
      </w:pPr>
      <w:r w:rsidRPr="00875120">
        <w:rPr>
          <w:rFonts w:eastAsia="Times New Roman" w:cs="Arial"/>
        </w:rPr>
        <w:t xml:space="preserve">ne </w:t>
      </w:r>
      <w:r>
        <w:rPr>
          <w:rFonts w:eastAsia="Times New Roman" w:cs="Arial"/>
        </w:rPr>
        <w:t>créent pas suffisamment de postes d’AESH,</w:t>
      </w:r>
    </w:p>
    <w:p w14:paraId="2BBD49B7" w14:textId="77777777" w:rsidR="007A2CFE" w:rsidRDefault="007A2CFE" w:rsidP="007A2CFE">
      <w:pPr>
        <w:pStyle w:val="Paragraphedeliste"/>
        <w:numPr>
          <w:ilvl w:val="0"/>
          <w:numId w:val="2"/>
        </w:numPr>
        <w:autoSpaceDE w:val="0"/>
        <w:autoSpaceDN w:val="0"/>
        <w:adjustRightInd w:val="0"/>
        <w:spacing w:after="0" w:line="240" w:lineRule="auto"/>
        <w:jc w:val="both"/>
        <w:rPr>
          <w:rFonts w:eastAsia="Times New Roman" w:cs="Arial"/>
        </w:rPr>
      </w:pPr>
      <w:r>
        <w:rPr>
          <w:rFonts w:eastAsia="Times New Roman" w:cs="Arial"/>
        </w:rPr>
        <w:t>ne s’assurent pas de rendre le métier d’AESH suffisamment attractif pour attirer des candidats.</w:t>
      </w:r>
    </w:p>
    <w:p w14:paraId="17C1AA6E" w14:textId="77777777" w:rsidR="007A2CFE" w:rsidRDefault="007A2CFE" w:rsidP="007A2CFE">
      <w:pPr>
        <w:autoSpaceDE w:val="0"/>
        <w:autoSpaceDN w:val="0"/>
        <w:adjustRightInd w:val="0"/>
        <w:spacing w:after="0" w:line="240" w:lineRule="auto"/>
        <w:jc w:val="both"/>
        <w:rPr>
          <w:rFonts w:eastAsia="Times New Roman" w:cs="Arial"/>
        </w:rPr>
      </w:pPr>
    </w:p>
    <w:p w14:paraId="7BB3F33B" w14:textId="7017EE79" w:rsidR="007A2CFE" w:rsidRDefault="007A2CFE" w:rsidP="007A2CFE">
      <w:pPr>
        <w:autoSpaceDE w:val="0"/>
        <w:autoSpaceDN w:val="0"/>
        <w:adjustRightInd w:val="0"/>
        <w:spacing w:after="0" w:line="240" w:lineRule="auto"/>
        <w:jc w:val="both"/>
        <w:rPr>
          <w:rFonts w:eastAsia="Times New Roman" w:cs="Arial"/>
        </w:rPr>
      </w:pPr>
      <w:r>
        <w:rPr>
          <w:rFonts w:eastAsia="Times New Roman" w:cs="Arial"/>
        </w:rPr>
        <w:lastRenderedPageBreak/>
        <w:t>Concernant l’insuffisance du nombre de créations de postes d’AESH, elle ressort clairement de la réponse du Ministère de l’Education Nationale, le 13 novembre 2025, à la sénatrice Sylviane Noël</w:t>
      </w:r>
      <w:r w:rsidR="00BA0822">
        <w:rPr>
          <w:rFonts w:eastAsia="Times New Roman" w:cs="Arial"/>
        </w:rPr>
        <w:t xml:space="preserve"> (voir </w:t>
      </w:r>
      <w:r w:rsidR="00BA0822" w:rsidRPr="002C4AB4">
        <w:rPr>
          <w:rFonts w:eastAsia="Times New Roman" w:cs="Arial"/>
          <w:b/>
          <w:bCs/>
        </w:rPr>
        <w:t xml:space="preserve">pièce </w:t>
      </w:r>
      <w:r w:rsidR="00BA0822">
        <w:rPr>
          <w:rFonts w:eastAsia="Times New Roman" w:cs="Arial"/>
          <w:b/>
          <w:bCs/>
        </w:rPr>
        <w:t>6</w:t>
      </w:r>
      <w:r w:rsidR="00BA0822">
        <w:rPr>
          <w:rFonts w:eastAsia="Times New Roman" w:cs="Arial"/>
        </w:rPr>
        <w:t> : réponse du Ministère de l’Education Nationale à la sénatrice Sylviane Noël, 13/11/25)</w:t>
      </w:r>
      <w:r>
        <w:rPr>
          <w:rFonts w:eastAsia="Times New Roman" w:cs="Arial"/>
        </w:rPr>
        <w:t xml:space="preserve">. Le  Ministère indique en effet que </w:t>
      </w:r>
      <w:r w:rsidRPr="00516B70">
        <w:rPr>
          <w:rFonts w:eastAsia="Times New Roman" w:cs="Arial"/>
          <w:i/>
          <w:iCs/>
        </w:rPr>
        <w:t>« </w:t>
      </w:r>
      <w:r w:rsidRPr="00516B70">
        <w:rPr>
          <w:rFonts w:eastAsia="Times New Roman" w:cs="Arial"/>
          <w:b/>
          <w:bCs/>
          <w:i/>
          <w:iCs/>
        </w:rPr>
        <w:t>2</w:t>
      </w:r>
      <w:r>
        <w:rPr>
          <w:rFonts w:eastAsia="Times New Roman" w:cs="Arial"/>
          <w:b/>
          <w:bCs/>
          <w:i/>
          <w:iCs/>
        </w:rPr>
        <w:t xml:space="preserve"> </w:t>
      </w:r>
      <w:r w:rsidRPr="00516B70">
        <w:rPr>
          <w:rFonts w:eastAsia="Times New Roman" w:cs="Arial"/>
          <w:b/>
          <w:bCs/>
          <w:i/>
          <w:iCs/>
        </w:rPr>
        <w:t>000 créations d’équivalent temps plein d’AESH sont prévues pour la rentrée scolaire 2025</w:t>
      </w:r>
      <w:r>
        <w:rPr>
          <w:rFonts w:eastAsia="Times New Roman" w:cs="Arial"/>
        </w:rPr>
        <w:t> </w:t>
      </w:r>
      <w:r w:rsidRPr="00516B70">
        <w:rPr>
          <w:rFonts w:eastAsia="Times New Roman" w:cs="Arial"/>
          <w:i/>
          <w:iCs/>
        </w:rPr>
        <w:t xml:space="preserve">» </w:t>
      </w:r>
      <w:r>
        <w:rPr>
          <w:rFonts w:eastAsia="Times New Roman" w:cs="Arial"/>
        </w:rPr>
        <w:t>alors même que le Ministre de l’Education Nationale indique, dans son audition par la commission parlementaire, qu’on observe « </w:t>
      </w:r>
      <w:r w:rsidRPr="00516B70">
        <w:rPr>
          <w:rFonts w:eastAsia="Times New Roman" w:cs="Arial"/>
          <w:b/>
          <w:bCs/>
          <w:i/>
          <w:iCs/>
        </w:rPr>
        <w:t>une croissance à deux chiffres du nombre d’élèves bénéficiant d’une notification d’AESH chaque année</w:t>
      </w:r>
      <w:r>
        <w:rPr>
          <w:rFonts w:eastAsia="Times New Roman" w:cs="Arial"/>
        </w:rPr>
        <w:t> », qui témoigne d’un besoin bien supérieur à 2 000 créations de postes.</w:t>
      </w:r>
    </w:p>
    <w:p w14:paraId="41872441" w14:textId="77777777" w:rsidR="007A2CFE" w:rsidRDefault="007A2CFE" w:rsidP="007A2CFE">
      <w:pPr>
        <w:autoSpaceDE w:val="0"/>
        <w:autoSpaceDN w:val="0"/>
        <w:adjustRightInd w:val="0"/>
        <w:spacing w:after="0" w:line="240" w:lineRule="auto"/>
        <w:jc w:val="both"/>
        <w:rPr>
          <w:rFonts w:eastAsia="Times New Roman" w:cs="Arial"/>
        </w:rPr>
      </w:pPr>
    </w:p>
    <w:p w14:paraId="7886BB2F" w14:textId="6DE6E145" w:rsidR="007A2CFE" w:rsidRDefault="007A2CFE" w:rsidP="007A2CFE">
      <w:pPr>
        <w:autoSpaceDE w:val="0"/>
        <w:autoSpaceDN w:val="0"/>
        <w:adjustRightInd w:val="0"/>
        <w:spacing w:after="0" w:line="240" w:lineRule="auto"/>
        <w:jc w:val="both"/>
        <w:rPr>
          <w:rFonts w:eastAsia="Times New Roman" w:cs="Arial"/>
        </w:rPr>
      </w:pPr>
      <w:r>
        <w:rPr>
          <w:rFonts w:eastAsia="Times New Roman" w:cs="Arial"/>
        </w:rPr>
        <w:t xml:space="preserve">En effet, lors de l’année scolaire 2022-2023, 149.517 élèves du premier degré et 99.006 élèves du second degré bénéficiaient d’une notification d’AESH, soit 248.523 élèves en tout (voir </w:t>
      </w:r>
      <w:r w:rsidRPr="002C4AB4">
        <w:rPr>
          <w:rFonts w:eastAsia="Times New Roman" w:cs="Arial"/>
          <w:b/>
          <w:bCs/>
        </w:rPr>
        <w:t xml:space="preserve">pièce </w:t>
      </w:r>
      <w:r w:rsidR="00BA0822">
        <w:rPr>
          <w:rFonts w:eastAsia="Times New Roman" w:cs="Arial"/>
          <w:b/>
          <w:bCs/>
        </w:rPr>
        <w:t>7</w:t>
      </w:r>
      <w:r>
        <w:rPr>
          <w:rFonts w:eastAsia="Times New Roman" w:cs="Arial"/>
        </w:rPr>
        <w:t xml:space="preserve"> : extrait des Repères et Références statistiques de l’Education Nationale, 2024). A supposer que cette « croissance à 2 chiffres » ne soit que de 10%, il y en avait donc a minima 273.375 lors de l’année scolaire 2024-2025 (pour laquelle le ministère a supprimé l’information de son référentiel statistique) et donc au moins 27.337 élèves de plus bénéficiant d’une notification d’AESH à la rentrée 2025. </w:t>
      </w:r>
      <w:r w:rsidRPr="002C4AB4">
        <w:rPr>
          <w:rFonts w:eastAsia="Times New Roman" w:cs="Arial"/>
          <w:b/>
          <w:bCs/>
        </w:rPr>
        <w:t>Créer 2</w:t>
      </w:r>
      <w:r>
        <w:rPr>
          <w:rFonts w:eastAsia="Times New Roman" w:cs="Arial"/>
          <w:b/>
          <w:bCs/>
        </w:rPr>
        <w:t>.</w:t>
      </w:r>
      <w:r w:rsidRPr="002C4AB4">
        <w:rPr>
          <w:rFonts w:eastAsia="Times New Roman" w:cs="Arial"/>
          <w:b/>
          <w:bCs/>
        </w:rPr>
        <w:t xml:space="preserve">000 équivalents temps plein d’AESH pour, a minima, 27.000 </w:t>
      </w:r>
      <w:r>
        <w:rPr>
          <w:rFonts w:eastAsia="Times New Roman" w:cs="Arial"/>
          <w:b/>
          <w:bCs/>
        </w:rPr>
        <w:t xml:space="preserve">nouveaux </w:t>
      </w:r>
      <w:r w:rsidRPr="002C4AB4">
        <w:rPr>
          <w:rFonts w:eastAsia="Times New Roman" w:cs="Arial"/>
          <w:b/>
          <w:bCs/>
        </w:rPr>
        <w:t xml:space="preserve">élèves en situation de handicap </w:t>
      </w:r>
      <w:r>
        <w:rPr>
          <w:rFonts w:eastAsia="Times New Roman" w:cs="Arial"/>
          <w:b/>
          <w:bCs/>
        </w:rPr>
        <w:t xml:space="preserve">bénéficiant d’une notification d’AESH </w:t>
      </w:r>
      <w:r w:rsidRPr="002C4AB4">
        <w:rPr>
          <w:rFonts w:eastAsia="Times New Roman" w:cs="Arial"/>
          <w:b/>
          <w:bCs/>
        </w:rPr>
        <w:t>est manifestement très insuffisant</w:t>
      </w:r>
      <w:r>
        <w:rPr>
          <w:rFonts w:eastAsia="Times New Roman" w:cs="Arial"/>
        </w:rPr>
        <w:t>. Et l’insuffisance de personnel AESH s’amplifie chaque année puis que le Ministère indique, en réponse à la sénatrice Sylviane Noël, qu’entre 2022 et 2025, seulement 11.000 postes d’AESH avaient été créés.</w:t>
      </w:r>
    </w:p>
    <w:p w14:paraId="63C7F7A7" w14:textId="77777777" w:rsidR="007A2CFE" w:rsidRDefault="007A2CFE" w:rsidP="007A2CFE">
      <w:pPr>
        <w:autoSpaceDE w:val="0"/>
        <w:autoSpaceDN w:val="0"/>
        <w:adjustRightInd w:val="0"/>
        <w:spacing w:after="0" w:line="240" w:lineRule="auto"/>
        <w:jc w:val="both"/>
        <w:rPr>
          <w:rFonts w:eastAsia="Times New Roman" w:cs="Arial"/>
        </w:rPr>
      </w:pPr>
    </w:p>
    <w:p w14:paraId="0974ABFF" w14:textId="77777777" w:rsidR="007A2CFE" w:rsidRPr="00875120" w:rsidRDefault="007A2CFE" w:rsidP="007A2CFE">
      <w:pPr>
        <w:autoSpaceDE w:val="0"/>
        <w:autoSpaceDN w:val="0"/>
        <w:adjustRightInd w:val="0"/>
        <w:spacing w:after="0" w:line="240" w:lineRule="auto"/>
        <w:jc w:val="both"/>
        <w:rPr>
          <w:rFonts w:eastAsia="Times New Roman" w:cs="Arial"/>
        </w:rPr>
      </w:pPr>
      <w:r>
        <w:rPr>
          <w:rFonts w:eastAsia="Times New Roman" w:cs="Arial"/>
        </w:rPr>
        <w:t>A cela s’ajoutent des difficultés de recrutement liées entre autres à leur « </w:t>
      </w:r>
      <w:r w:rsidRPr="002C4AB4">
        <w:rPr>
          <w:rFonts w:eastAsia="Times New Roman" w:cs="Arial"/>
          <w:i/>
          <w:iCs/>
        </w:rPr>
        <w:t>faible niveau de rémunération</w:t>
      </w:r>
      <w:r>
        <w:rPr>
          <w:rFonts w:eastAsia="Times New Roman" w:cs="Arial"/>
        </w:rPr>
        <w:t> » souligné par la sénatrice Sylviane Noël. Ces difficultés sont également imputables au Ministère de l’Education Nationale et aux DSDEN.</w:t>
      </w:r>
    </w:p>
    <w:p w14:paraId="5BF6FF72" w14:textId="77777777" w:rsidR="007A2CFE" w:rsidRDefault="007A2CFE" w:rsidP="007A2CFE">
      <w:pPr>
        <w:spacing w:after="0" w:line="240" w:lineRule="auto"/>
        <w:jc w:val="both"/>
        <w:rPr>
          <w:rFonts w:eastAsia="Times New Roman" w:cs="Arial"/>
        </w:rPr>
      </w:pPr>
    </w:p>
    <w:p w14:paraId="2DB29FE4" w14:textId="77777777" w:rsidR="007A2CFE" w:rsidRPr="008B1F63" w:rsidRDefault="007A2CFE" w:rsidP="007A2CFE">
      <w:pPr>
        <w:spacing w:after="0" w:line="240" w:lineRule="auto"/>
        <w:jc w:val="both"/>
        <w:rPr>
          <w:rFonts w:eastAsia="Times New Roman" w:cs="Arial"/>
        </w:rPr>
      </w:pPr>
      <w:r>
        <w:rPr>
          <w:rFonts w:eastAsia="Times New Roman" w:cs="Arial"/>
        </w:rPr>
        <w:t xml:space="preserve">La pénurie d’AESH est entièrement imputable au Ministère de l’Education Nationale et aux DSDEN qui se refusent à mettre en place les moyens nécessaires pour assurer les besoins d’accompagnement des élèves handicapés, et qui ne mettent pas en place les conditions d’emploi pour que le métier d’AESH soit correctement valorisé afin d’attirer des candidats en nombre suffisant pour satisfaire les besoins. </w:t>
      </w:r>
    </w:p>
    <w:p w14:paraId="5AB06A23" w14:textId="67AA479F" w:rsidR="003456D1" w:rsidRPr="008B1F63" w:rsidRDefault="003456D1" w:rsidP="00BC1B40">
      <w:pPr>
        <w:spacing w:after="0" w:line="240" w:lineRule="auto"/>
        <w:jc w:val="both"/>
        <w:rPr>
          <w:rFonts w:eastAsia="Times New Roman" w:cs="Arial"/>
        </w:rPr>
      </w:pPr>
    </w:p>
    <w:p w14:paraId="6FD1884A" w14:textId="77777777" w:rsidR="003229D5" w:rsidRPr="00307FBC" w:rsidRDefault="003229D5" w:rsidP="00357495">
      <w:pPr>
        <w:spacing w:after="0" w:line="240" w:lineRule="auto"/>
        <w:jc w:val="both"/>
        <w:rPr>
          <w:rFonts w:eastAsia="Times New Roman" w:cs="Arial"/>
        </w:rPr>
      </w:pPr>
    </w:p>
    <w:p w14:paraId="560D778C" w14:textId="77777777" w:rsidR="003229D5" w:rsidRPr="00307FBC" w:rsidRDefault="003229D5" w:rsidP="003229D5">
      <w:pPr>
        <w:spacing w:after="0" w:line="240" w:lineRule="auto"/>
        <w:jc w:val="both"/>
        <w:rPr>
          <w:rFonts w:eastAsia="Times New Roman" w:cs="Arial"/>
        </w:rPr>
      </w:pPr>
    </w:p>
    <w:p w14:paraId="04ADB818" w14:textId="51EDC68E" w:rsidR="00833FE3" w:rsidRPr="008B1F63" w:rsidRDefault="308726E4" w:rsidP="00833FE3">
      <w:pPr>
        <w:spacing w:after="0" w:line="240" w:lineRule="auto"/>
        <w:jc w:val="both"/>
        <w:rPr>
          <w:rFonts w:eastAsia="Times New Roman" w:cs="Arial"/>
        </w:rPr>
      </w:pPr>
      <w:r w:rsidRPr="308726E4">
        <w:rPr>
          <w:rFonts w:eastAsia="Times New Roman" w:cs="Arial"/>
          <w:b/>
          <w:bCs/>
        </w:rPr>
        <w:t>Par ces motifs</w:t>
      </w:r>
      <w:r w:rsidRPr="308726E4">
        <w:rPr>
          <w:rFonts w:eastAsia="Times New Roman" w:cs="Arial"/>
        </w:rPr>
        <w:t xml:space="preserve">, et tous autres à produire, déduire ou suppléer, d’office s’il y a lieu, il est demandé au Tribunal Administratif de </w:t>
      </w:r>
      <w:r w:rsidRPr="308726E4">
        <w:rPr>
          <w:rFonts w:eastAsia="Times New Roman" w:cs="Arial"/>
          <w:highlight w:val="yellow"/>
        </w:rPr>
        <w:t>lieu</w:t>
      </w:r>
      <w:r w:rsidRPr="308726E4">
        <w:rPr>
          <w:rFonts w:eastAsia="Times New Roman" w:cs="Arial"/>
        </w:rPr>
        <w:t xml:space="preserve"> de : </w:t>
      </w:r>
    </w:p>
    <w:p w14:paraId="177C2B64" w14:textId="77777777" w:rsidR="00833FE3" w:rsidRPr="008B1F63" w:rsidRDefault="00833FE3" w:rsidP="00833FE3">
      <w:pPr>
        <w:spacing w:after="0" w:line="240" w:lineRule="auto"/>
        <w:jc w:val="both"/>
        <w:rPr>
          <w:rFonts w:eastAsia="Times New Roman" w:cs="Arial"/>
        </w:rPr>
      </w:pPr>
    </w:p>
    <w:p w14:paraId="1199576C" w14:textId="3C7295FE" w:rsidR="00833FE3" w:rsidRPr="00630BA1" w:rsidRDefault="308726E4" w:rsidP="00833FE3">
      <w:pPr>
        <w:spacing w:after="0" w:line="240" w:lineRule="auto"/>
        <w:jc w:val="both"/>
        <w:rPr>
          <w:rFonts w:eastAsia="Times New Roman" w:cs="Arial"/>
          <w:color w:val="FF0000"/>
        </w:rPr>
      </w:pPr>
      <w:r w:rsidRPr="308726E4">
        <w:rPr>
          <w:rFonts w:eastAsia="Times New Roman" w:cs="Arial"/>
        </w:rPr>
        <w:t xml:space="preserve">- Annuler la décision implicite de rejet intervenue le </w:t>
      </w:r>
      <w:r w:rsidRPr="308726E4">
        <w:rPr>
          <w:rFonts w:eastAsia="Times New Roman" w:cs="Arial"/>
          <w:highlight w:val="yellow"/>
        </w:rPr>
        <w:t>date</w:t>
      </w:r>
      <w:r w:rsidRPr="308726E4">
        <w:rPr>
          <w:rFonts w:eastAsia="Times New Roman" w:cs="Arial"/>
        </w:rPr>
        <w:t xml:space="preserve"> </w:t>
      </w:r>
      <w:r w:rsidRPr="308726E4">
        <w:rPr>
          <w:rFonts w:eastAsia="Times New Roman" w:cs="Arial"/>
          <w:color w:val="FF0000"/>
        </w:rPr>
        <w:t xml:space="preserve">(date de deux mois depuis la mise en demeure) </w:t>
      </w:r>
    </w:p>
    <w:p w14:paraId="42BB97A3" w14:textId="77777777" w:rsidR="00833FE3" w:rsidRPr="008B1F63" w:rsidRDefault="00833FE3" w:rsidP="00833FE3">
      <w:pPr>
        <w:spacing w:after="0" w:line="240" w:lineRule="auto"/>
        <w:jc w:val="both"/>
        <w:rPr>
          <w:rFonts w:eastAsia="Times New Roman" w:cs="Arial"/>
        </w:rPr>
      </w:pPr>
    </w:p>
    <w:p w14:paraId="31B5140B" w14:textId="4C7BD6E8" w:rsidR="00833FE3" w:rsidRPr="008B1F63" w:rsidRDefault="00833FE3" w:rsidP="00833FE3">
      <w:pPr>
        <w:spacing w:after="0" w:line="240" w:lineRule="auto"/>
        <w:jc w:val="both"/>
        <w:rPr>
          <w:rFonts w:eastAsia="Times New Roman" w:cs="Arial"/>
        </w:rPr>
      </w:pPr>
      <w:r w:rsidRPr="008B1F63">
        <w:rPr>
          <w:rFonts w:eastAsia="Times New Roman" w:cs="Arial"/>
        </w:rPr>
        <w:t>- Ordonner à la Direction des Services Départementaux de l’Education Nationale</w:t>
      </w:r>
      <w:r w:rsidRPr="007E5D63">
        <w:rPr>
          <w:rFonts w:eastAsia="Times New Roman" w:cs="Arial"/>
        </w:rPr>
        <w:t xml:space="preserve"> </w:t>
      </w:r>
      <w:r>
        <w:rPr>
          <w:rFonts w:eastAsia="Times New Roman" w:cs="Arial"/>
        </w:rPr>
        <w:t xml:space="preserve">de </w:t>
      </w:r>
      <w:r w:rsidR="00072AE3" w:rsidRPr="00072AE3">
        <w:rPr>
          <w:rFonts w:eastAsia="Times New Roman" w:cs="Arial"/>
          <w:highlight w:val="yellow"/>
        </w:rPr>
        <w:t>département</w:t>
      </w:r>
      <w:r w:rsidRPr="008B1F63">
        <w:rPr>
          <w:rFonts w:eastAsia="Times New Roman" w:cs="Arial"/>
        </w:rPr>
        <w:t xml:space="preserve"> d'exécuter la notification </w:t>
      </w:r>
      <w:r w:rsidR="00FE0812">
        <w:rPr>
          <w:rFonts w:eastAsia="Times New Roman" w:cs="Arial"/>
        </w:rPr>
        <w:t xml:space="preserve">d’accompagnement par une aide humaine à la scolarisation, </w:t>
      </w:r>
      <w:r w:rsidRPr="008B1F63">
        <w:rPr>
          <w:rFonts w:eastAsia="Times New Roman" w:cs="Arial"/>
        </w:rPr>
        <w:t xml:space="preserve">sous astreinte de 500 € par jour de retard. </w:t>
      </w:r>
    </w:p>
    <w:p w14:paraId="0ACEBCF2" w14:textId="77777777" w:rsidR="00833FE3" w:rsidRPr="008B1F63" w:rsidRDefault="00833FE3" w:rsidP="00833FE3">
      <w:pPr>
        <w:spacing w:after="0" w:line="240" w:lineRule="auto"/>
        <w:jc w:val="both"/>
        <w:rPr>
          <w:rFonts w:eastAsia="Times New Roman" w:cs="Arial"/>
        </w:rPr>
      </w:pPr>
    </w:p>
    <w:p w14:paraId="38334650" w14:textId="7A39C460" w:rsidR="00833FE3" w:rsidRPr="008B1F63" w:rsidRDefault="00833FE3" w:rsidP="00833FE3">
      <w:pPr>
        <w:spacing w:after="0" w:line="240" w:lineRule="auto"/>
        <w:jc w:val="both"/>
        <w:rPr>
          <w:rFonts w:eastAsia="Times New Roman" w:cs="Arial"/>
        </w:rPr>
      </w:pPr>
      <w:r w:rsidRPr="008B1F63">
        <w:rPr>
          <w:rFonts w:eastAsia="Times New Roman" w:cs="Arial"/>
        </w:rPr>
        <w:t xml:space="preserve">- Enjoindre la Direction des Services Départementaux de l’Education Nationale </w:t>
      </w:r>
      <w:r>
        <w:rPr>
          <w:rFonts w:eastAsia="Times New Roman" w:cs="Arial"/>
        </w:rPr>
        <w:t xml:space="preserve">de </w:t>
      </w:r>
      <w:r w:rsidR="00072AE3" w:rsidRPr="00072AE3">
        <w:rPr>
          <w:rFonts w:eastAsia="Times New Roman" w:cs="Arial"/>
          <w:highlight w:val="yellow"/>
        </w:rPr>
        <w:t>département</w:t>
      </w:r>
      <w:r w:rsidR="00072AE3" w:rsidRPr="008B1F63">
        <w:rPr>
          <w:rFonts w:eastAsia="Times New Roman" w:cs="Arial"/>
        </w:rPr>
        <w:t xml:space="preserve"> </w:t>
      </w:r>
      <w:r w:rsidR="0057712D">
        <w:rPr>
          <w:rFonts w:eastAsia="Times New Roman" w:cs="Arial"/>
        </w:rPr>
        <w:t>de désigner un accompagnant</w:t>
      </w:r>
      <w:r w:rsidRPr="008B1F63">
        <w:rPr>
          <w:rFonts w:eastAsia="Times New Roman" w:cs="Arial"/>
        </w:rPr>
        <w:t xml:space="preserve"> </w:t>
      </w:r>
      <w:r w:rsidR="0057712D">
        <w:rPr>
          <w:rFonts w:eastAsia="Times New Roman" w:cs="Arial"/>
        </w:rPr>
        <w:t>des élèves en situation de handicap (AESH)</w:t>
      </w:r>
      <w:r w:rsidRPr="008B1F63">
        <w:rPr>
          <w:rFonts w:eastAsia="Times New Roman" w:cs="Arial"/>
        </w:rPr>
        <w:t xml:space="preserve">, sous astreinte de 500 € par jour de retard. </w:t>
      </w:r>
    </w:p>
    <w:p w14:paraId="221D3FF5" w14:textId="77777777" w:rsidR="00833FE3" w:rsidRPr="008B1F63" w:rsidRDefault="00833FE3" w:rsidP="00833FE3">
      <w:pPr>
        <w:spacing w:after="0" w:line="240" w:lineRule="auto"/>
        <w:jc w:val="both"/>
        <w:rPr>
          <w:rFonts w:eastAsia="Times New Roman" w:cs="Arial"/>
        </w:rPr>
      </w:pPr>
    </w:p>
    <w:p w14:paraId="572B6C20" w14:textId="77777777" w:rsidR="00833FE3" w:rsidRPr="008B1F63" w:rsidRDefault="00833FE3" w:rsidP="00833FE3">
      <w:pPr>
        <w:spacing w:after="0" w:line="240" w:lineRule="auto"/>
        <w:jc w:val="both"/>
        <w:rPr>
          <w:rFonts w:eastAsia="Times New Roman" w:cs="Arial"/>
        </w:rPr>
      </w:pPr>
      <w:r w:rsidRPr="008B1F63">
        <w:rPr>
          <w:rFonts w:eastAsia="Times New Roman" w:cs="Arial"/>
        </w:rPr>
        <w:t xml:space="preserve">- Condamner l'Etat au paiement de la somme de 1 500 € au titre de l'article L.761-1 du Code de justice administrative. </w:t>
      </w:r>
    </w:p>
    <w:p w14:paraId="71D83BF3" w14:textId="77777777" w:rsidR="00072AE3" w:rsidRDefault="00072AE3" w:rsidP="003229D5">
      <w:pPr>
        <w:spacing w:after="0" w:line="240" w:lineRule="auto"/>
        <w:jc w:val="both"/>
        <w:rPr>
          <w:rFonts w:eastAsia="Times New Roman" w:cs="Arial"/>
        </w:rPr>
      </w:pPr>
    </w:p>
    <w:p w14:paraId="4F963EB7" w14:textId="77777777" w:rsidR="00072AE3" w:rsidRPr="008B1F63" w:rsidRDefault="00072AE3" w:rsidP="0075093B">
      <w:pPr>
        <w:spacing w:after="0" w:line="240" w:lineRule="auto"/>
        <w:jc w:val="both"/>
        <w:outlineLvl w:val="0"/>
        <w:rPr>
          <w:rFonts w:eastAsia="Times New Roman" w:cs="Arial"/>
        </w:rPr>
      </w:pPr>
      <w:r w:rsidRPr="008B1F63">
        <w:rPr>
          <w:rFonts w:eastAsia="Times New Roman" w:cs="Arial"/>
        </w:rPr>
        <w:t xml:space="preserve">Fait à </w:t>
      </w:r>
      <w:r w:rsidRPr="007E5D63">
        <w:rPr>
          <w:rFonts w:eastAsia="Times New Roman" w:cs="Arial"/>
          <w:highlight w:val="yellow"/>
        </w:rPr>
        <w:t>lieu</w:t>
      </w:r>
      <w:r w:rsidRPr="008B1F63">
        <w:rPr>
          <w:rFonts w:eastAsia="Times New Roman" w:cs="Arial"/>
        </w:rPr>
        <w:t xml:space="preserve">, le </w:t>
      </w:r>
      <w:r w:rsidRPr="007E5D63">
        <w:rPr>
          <w:rFonts w:eastAsia="Times New Roman" w:cs="Arial"/>
          <w:highlight w:val="yellow"/>
        </w:rPr>
        <w:t>date</w:t>
      </w:r>
      <w:r>
        <w:rPr>
          <w:rFonts w:eastAsia="Times New Roman" w:cs="Arial"/>
        </w:rPr>
        <w:t>.</w:t>
      </w:r>
    </w:p>
    <w:p w14:paraId="493BA1FF" w14:textId="77777777" w:rsidR="003229D5" w:rsidRDefault="003229D5" w:rsidP="003229D5">
      <w:pPr>
        <w:spacing w:after="0" w:line="240" w:lineRule="auto"/>
        <w:jc w:val="both"/>
        <w:rPr>
          <w:rFonts w:eastAsia="Times New Roman" w:cs="Arial"/>
        </w:rPr>
      </w:pPr>
    </w:p>
    <w:p w14:paraId="51F0DDA1" w14:textId="77777777" w:rsidR="00072AE3" w:rsidRPr="00307FBC" w:rsidRDefault="00072AE3" w:rsidP="003229D5">
      <w:pPr>
        <w:spacing w:after="0" w:line="240" w:lineRule="auto"/>
        <w:jc w:val="both"/>
        <w:rPr>
          <w:rFonts w:eastAsia="Times New Roman" w:cs="Arial"/>
        </w:rPr>
      </w:pPr>
    </w:p>
    <w:p w14:paraId="0FC29160" w14:textId="77777777" w:rsidR="003229D5" w:rsidRPr="00307FBC" w:rsidRDefault="003229D5" w:rsidP="003229D5">
      <w:pPr>
        <w:spacing w:after="0" w:line="240" w:lineRule="auto"/>
        <w:jc w:val="both"/>
        <w:rPr>
          <w:rFonts w:eastAsia="Times New Roman" w:cs="Arial"/>
        </w:rPr>
      </w:pPr>
    </w:p>
    <w:p w14:paraId="2E5C35FB" w14:textId="127FA044" w:rsidR="003229D5" w:rsidRPr="00307FBC" w:rsidRDefault="003229D5" w:rsidP="0075093B">
      <w:pPr>
        <w:spacing w:after="0" w:line="240" w:lineRule="auto"/>
        <w:jc w:val="both"/>
        <w:outlineLvl w:val="0"/>
        <w:rPr>
          <w:rFonts w:eastAsia="Times New Roman" w:cs="Arial"/>
        </w:rPr>
      </w:pPr>
      <w:r w:rsidRPr="00307FBC">
        <w:rPr>
          <w:rFonts w:eastAsia="Times New Roman" w:cs="Arial"/>
          <w:b/>
        </w:rPr>
        <w:t xml:space="preserve">PRODUCTIONS : </w:t>
      </w:r>
    </w:p>
    <w:p w14:paraId="228F9987" w14:textId="15941A55" w:rsidR="003229D5" w:rsidRPr="00307FBC" w:rsidRDefault="00B00AB0" w:rsidP="0075093B">
      <w:pPr>
        <w:spacing w:after="0" w:line="240" w:lineRule="auto"/>
        <w:jc w:val="both"/>
        <w:outlineLvl w:val="0"/>
        <w:rPr>
          <w:rFonts w:eastAsia="Times New Roman" w:cs="Arial"/>
        </w:rPr>
      </w:pPr>
      <w:r w:rsidRPr="00B00AB0">
        <w:rPr>
          <w:rFonts w:eastAsia="Times New Roman" w:cs="Arial"/>
          <w:b/>
        </w:rPr>
        <w:t>Pièce 1 :</w:t>
      </w:r>
      <w:r>
        <w:rPr>
          <w:rFonts w:eastAsia="Times New Roman" w:cs="Arial"/>
        </w:rPr>
        <w:t xml:space="preserve"> </w:t>
      </w:r>
      <w:r w:rsidR="00BA0822" w:rsidRPr="008B1F63">
        <w:rPr>
          <w:rFonts w:eastAsia="Times New Roman" w:cs="Arial"/>
        </w:rPr>
        <w:t>certificat mentionnant le diagnostic</w:t>
      </w:r>
    </w:p>
    <w:p w14:paraId="180A87D2" w14:textId="21C14665" w:rsidR="003456D1" w:rsidRPr="008B1F63" w:rsidRDefault="00B00AB0" w:rsidP="003456D1">
      <w:pPr>
        <w:spacing w:after="0" w:line="240" w:lineRule="auto"/>
        <w:jc w:val="both"/>
        <w:rPr>
          <w:rFonts w:eastAsia="Times New Roman" w:cs="Arial"/>
        </w:rPr>
      </w:pPr>
      <w:r w:rsidRPr="00B00AB0">
        <w:rPr>
          <w:rFonts w:eastAsia="Times New Roman" w:cs="Arial"/>
          <w:b/>
        </w:rPr>
        <w:t>Pièce 2 :</w:t>
      </w:r>
      <w:r w:rsidR="003456D1" w:rsidRPr="008B1F63">
        <w:rPr>
          <w:rFonts w:eastAsia="Times New Roman" w:cs="Arial"/>
        </w:rPr>
        <w:t xml:space="preserve"> notification </w:t>
      </w:r>
      <w:r w:rsidR="00BA0822">
        <w:rPr>
          <w:rFonts w:eastAsia="Times New Roman" w:cs="Arial"/>
        </w:rPr>
        <w:t>de la CDAPH</w:t>
      </w:r>
      <w:r w:rsidR="003456D1" w:rsidRPr="008B1F63">
        <w:rPr>
          <w:rFonts w:eastAsia="Times New Roman" w:cs="Arial"/>
        </w:rPr>
        <w:t xml:space="preserve"> </w:t>
      </w:r>
    </w:p>
    <w:p w14:paraId="67094F90" w14:textId="121A8B1C" w:rsidR="003456D1" w:rsidRPr="008B1F63" w:rsidRDefault="00B00AB0" w:rsidP="003456D1">
      <w:pPr>
        <w:spacing w:after="0" w:line="240" w:lineRule="auto"/>
        <w:jc w:val="both"/>
        <w:rPr>
          <w:rFonts w:eastAsia="Times New Roman" w:cs="Arial"/>
        </w:rPr>
      </w:pPr>
      <w:r w:rsidRPr="00B00AB0">
        <w:rPr>
          <w:rFonts w:eastAsia="Times New Roman" w:cs="Arial"/>
          <w:b/>
        </w:rPr>
        <w:t>Pièce 3 :</w:t>
      </w:r>
      <w:r w:rsidR="003456D1" w:rsidRPr="008B1F63">
        <w:rPr>
          <w:rFonts w:eastAsia="Times New Roman" w:cs="Arial"/>
        </w:rPr>
        <w:t xml:space="preserve"> courrier de mise en demeure </w:t>
      </w:r>
    </w:p>
    <w:p w14:paraId="6B3E4411" w14:textId="12608EE7" w:rsidR="003456D1" w:rsidRDefault="00B00AB0" w:rsidP="003456D1">
      <w:pPr>
        <w:spacing w:after="0" w:line="240" w:lineRule="auto"/>
        <w:jc w:val="both"/>
        <w:rPr>
          <w:rFonts w:eastAsia="Times New Roman" w:cs="Arial"/>
        </w:rPr>
      </w:pPr>
      <w:r w:rsidRPr="00B00AB0">
        <w:rPr>
          <w:rFonts w:eastAsia="Times New Roman" w:cs="Arial"/>
          <w:b/>
        </w:rPr>
        <w:t>Pièce 4 :</w:t>
      </w:r>
      <w:r w:rsidR="003456D1" w:rsidRPr="008B1F63">
        <w:rPr>
          <w:rFonts w:eastAsia="Times New Roman" w:cs="Arial"/>
        </w:rPr>
        <w:t xml:space="preserve"> </w:t>
      </w:r>
      <w:r w:rsidR="00BA0822">
        <w:rPr>
          <w:rFonts w:eastAsia="Times New Roman" w:cs="Arial"/>
        </w:rPr>
        <w:t>livret de famille</w:t>
      </w:r>
    </w:p>
    <w:p w14:paraId="2C8C44B5" w14:textId="77777777" w:rsidR="00BB12C2" w:rsidRDefault="00BC1B40" w:rsidP="00AE3A06">
      <w:pPr>
        <w:spacing w:after="0" w:line="240" w:lineRule="auto"/>
        <w:jc w:val="both"/>
        <w:rPr>
          <w:rFonts w:eastAsia="Times New Roman" w:cs="Arial"/>
        </w:rPr>
      </w:pPr>
      <w:bookmarkStart w:id="3" w:name="OLE_LINK3"/>
      <w:bookmarkStart w:id="4" w:name="OLE_LINK4"/>
      <w:r w:rsidRPr="009277D2">
        <w:rPr>
          <w:rFonts w:eastAsia="Times New Roman" w:cs="Arial"/>
          <w:b/>
        </w:rPr>
        <w:lastRenderedPageBreak/>
        <w:t>Pièce 5 </w:t>
      </w:r>
      <w:r>
        <w:rPr>
          <w:rFonts w:eastAsia="Times New Roman" w:cs="Arial"/>
        </w:rPr>
        <w:t xml:space="preserve">: </w:t>
      </w:r>
      <w:r w:rsidR="00BB12C2">
        <w:rPr>
          <w:rFonts w:eastAsia="Times New Roman" w:cs="Arial"/>
        </w:rPr>
        <w:t>compte-rendu d’audition du ministre de l’Education Nationale par la Commission d’enquête sur les défaillances des politiques publiques de prise en charge de la santé mentale et du handicap, 30 octobre 2025</w:t>
      </w:r>
    </w:p>
    <w:p w14:paraId="50F2DA20" w14:textId="1D2EEECF" w:rsidR="00BA0822" w:rsidRDefault="00AE3A06" w:rsidP="00AE3A06">
      <w:pPr>
        <w:spacing w:after="0" w:line="240" w:lineRule="auto"/>
        <w:jc w:val="both"/>
        <w:rPr>
          <w:rFonts w:eastAsia="Times New Roman" w:cs="Arial"/>
        </w:rPr>
      </w:pPr>
      <w:r>
        <w:rPr>
          <w:rFonts w:eastAsia="Times New Roman" w:cs="Arial"/>
          <w:b/>
        </w:rPr>
        <w:t>P</w:t>
      </w:r>
      <w:r w:rsidRPr="006F24E9">
        <w:rPr>
          <w:rFonts w:eastAsia="Times New Roman" w:cs="Arial"/>
          <w:b/>
        </w:rPr>
        <w:t>ièce 6 </w:t>
      </w:r>
      <w:r>
        <w:rPr>
          <w:rFonts w:eastAsia="Times New Roman" w:cs="Arial"/>
        </w:rPr>
        <w:t xml:space="preserve">: </w:t>
      </w:r>
      <w:r w:rsidR="00BA0822">
        <w:rPr>
          <w:rFonts w:eastAsia="Times New Roman" w:cs="Arial"/>
        </w:rPr>
        <w:t>réponse du Ministère de l’Education Nationale à la sénatrice Sylviane Noël, 13/11/25</w:t>
      </w:r>
    </w:p>
    <w:p w14:paraId="0B9A99A5" w14:textId="58FBDF43" w:rsidR="00BA0822" w:rsidRDefault="00BA0822" w:rsidP="00AE3A06">
      <w:pPr>
        <w:spacing w:after="0" w:line="240" w:lineRule="auto"/>
        <w:jc w:val="both"/>
        <w:rPr>
          <w:rFonts w:eastAsia="Times New Roman" w:cs="Arial"/>
        </w:rPr>
      </w:pPr>
      <w:r w:rsidRPr="002A1D69">
        <w:rPr>
          <w:rFonts w:eastAsia="Times New Roman" w:cs="Arial"/>
          <w:b/>
        </w:rPr>
        <w:t>Pièce 7 :</w:t>
      </w:r>
      <w:r>
        <w:rPr>
          <w:rFonts w:eastAsia="Times New Roman" w:cs="Arial"/>
        </w:rPr>
        <w:t xml:space="preserve"> extrait des Repères et Références statistiques de l’Education Nationale, 2024</w:t>
      </w:r>
    </w:p>
    <w:p w14:paraId="12927A90" w14:textId="6FEF6CF1" w:rsidR="00B00AB0" w:rsidRDefault="00B00AB0" w:rsidP="00B00AB0">
      <w:pPr>
        <w:spacing w:after="0" w:line="240" w:lineRule="auto"/>
        <w:jc w:val="both"/>
        <w:rPr>
          <w:rFonts w:eastAsia="Times New Roman" w:cs="Arial"/>
        </w:rPr>
      </w:pPr>
    </w:p>
    <w:bookmarkEnd w:id="3"/>
    <w:bookmarkEnd w:id="4"/>
    <w:p w14:paraId="533AECEE" w14:textId="77777777" w:rsidR="003456D1" w:rsidRDefault="003456D1" w:rsidP="003229D5">
      <w:pPr>
        <w:spacing w:after="0" w:line="240" w:lineRule="auto"/>
        <w:jc w:val="both"/>
        <w:rPr>
          <w:rFonts w:eastAsia="Times New Roman" w:cs="Arial"/>
        </w:rPr>
      </w:pPr>
    </w:p>
    <w:p w14:paraId="5E0F61C3" w14:textId="77777777" w:rsidR="00501C33" w:rsidRPr="00307FBC" w:rsidRDefault="00501C33" w:rsidP="003229D5">
      <w:pPr>
        <w:spacing w:after="0" w:line="240" w:lineRule="auto"/>
        <w:jc w:val="both"/>
        <w:rPr>
          <w:rFonts w:eastAsia="Times New Roman" w:cs="Arial"/>
        </w:rPr>
      </w:pPr>
    </w:p>
    <w:sectPr w:rsidR="00501C33" w:rsidRPr="00307FBC" w:rsidSect="00DA42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TimesNewRomanPS-ItalicMT">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0B70"/>
    <w:multiLevelType w:val="hybridMultilevel"/>
    <w:tmpl w:val="B478DB5C"/>
    <w:lvl w:ilvl="0" w:tplc="75D049D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610965"/>
    <w:multiLevelType w:val="hybridMultilevel"/>
    <w:tmpl w:val="407678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9392649">
    <w:abstractNumId w:val="1"/>
  </w:num>
  <w:num w:numId="2" w16cid:durableId="139273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D5"/>
    <w:rsid w:val="00016923"/>
    <w:rsid w:val="0003684C"/>
    <w:rsid w:val="00041779"/>
    <w:rsid w:val="000453C9"/>
    <w:rsid w:val="00063FF8"/>
    <w:rsid w:val="000645AC"/>
    <w:rsid w:val="00072AE3"/>
    <w:rsid w:val="000B341E"/>
    <w:rsid w:val="0014559E"/>
    <w:rsid w:val="00157530"/>
    <w:rsid w:val="001779B0"/>
    <w:rsid w:val="00191A52"/>
    <w:rsid w:val="0024086C"/>
    <w:rsid w:val="0026496B"/>
    <w:rsid w:val="002720D0"/>
    <w:rsid w:val="002A1D69"/>
    <w:rsid w:val="002D52B4"/>
    <w:rsid w:val="002D7BEC"/>
    <w:rsid w:val="002F4EE4"/>
    <w:rsid w:val="00307FBC"/>
    <w:rsid w:val="00313136"/>
    <w:rsid w:val="003229D5"/>
    <w:rsid w:val="003456D1"/>
    <w:rsid w:val="00357495"/>
    <w:rsid w:val="003B0F8E"/>
    <w:rsid w:val="00400CFE"/>
    <w:rsid w:val="0040167D"/>
    <w:rsid w:val="004140F3"/>
    <w:rsid w:val="00430DAC"/>
    <w:rsid w:val="004623DC"/>
    <w:rsid w:val="004B209D"/>
    <w:rsid w:val="004E7323"/>
    <w:rsid w:val="004F2FB5"/>
    <w:rsid w:val="00501C33"/>
    <w:rsid w:val="005762C9"/>
    <w:rsid w:val="0057712D"/>
    <w:rsid w:val="005F7B79"/>
    <w:rsid w:val="006317DD"/>
    <w:rsid w:val="006B753F"/>
    <w:rsid w:val="00701792"/>
    <w:rsid w:val="0070204F"/>
    <w:rsid w:val="0075093B"/>
    <w:rsid w:val="0075119D"/>
    <w:rsid w:val="00760034"/>
    <w:rsid w:val="00791C01"/>
    <w:rsid w:val="007A2500"/>
    <w:rsid w:val="007A2CFE"/>
    <w:rsid w:val="007E5B77"/>
    <w:rsid w:val="00833FE3"/>
    <w:rsid w:val="00865080"/>
    <w:rsid w:val="00891BED"/>
    <w:rsid w:val="008C4E55"/>
    <w:rsid w:val="008D7F0F"/>
    <w:rsid w:val="008E2195"/>
    <w:rsid w:val="008E3E5B"/>
    <w:rsid w:val="00903017"/>
    <w:rsid w:val="009330FE"/>
    <w:rsid w:val="00987115"/>
    <w:rsid w:val="00A6750F"/>
    <w:rsid w:val="00A86874"/>
    <w:rsid w:val="00AD70EC"/>
    <w:rsid w:val="00AE3A06"/>
    <w:rsid w:val="00B00AB0"/>
    <w:rsid w:val="00B279C8"/>
    <w:rsid w:val="00B85216"/>
    <w:rsid w:val="00BA0822"/>
    <w:rsid w:val="00BB12C2"/>
    <w:rsid w:val="00BC1B40"/>
    <w:rsid w:val="00C05F34"/>
    <w:rsid w:val="00C8100C"/>
    <w:rsid w:val="00CA07DF"/>
    <w:rsid w:val="00CA13AC"/>
    <w:rsid w:val="00D11D41"/>
    <w:rsid w:val="00D33754"/>
    <w:rsid w:val="00D61041"/>
    <w:rsid w:val="00DA42B2"/>
    <w:rsid w:val="00DB726E"/>
    <w:rsid w:val="00E06E97"/>
    <w:rsid w:val="00E33524"/>
    <w:rsid w:val="00E9731C"/>
    <w:rsid w:val="00EC68AA"/>
    <w:rsid w:val="00F470C8"/>
    <w:rsid w:val="00F821EC"/>
    <w:rsid w:val="00FD1F6C"/>
    <w:rsid w:val="00FE0812"/>
    <w:rsid w:val="00FF5D3B"/>
    <w:rsid w:val="308726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28C23"/>
  <w15:docId w15:val="{C53FF7F4-4B36-490B-9941-C24B41F2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29D5"/>
    <w:pPr>
      <w:ind w:left="720"/>
      <w:contextualSpacing/>
    </w:pPr>
  </w:style>
  <w:style w:type="paragraph" w:styleId="Textedebulles">
    <w:name w:val="Balloon Text"/>
    <w:basedOn w:val="Normal"/>
    <w:link w:val="TextedebullesCar"/>
    <w:uiPriority w:val="99"/>
    <w:semiHidden/>
    <w:unhideWhenUsed/>
    <w:rsid w:val="00FD1F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1F6C"/>
    <w:rPr>
      <w:rFonts w:ascii="Segoe UI" w:hAnsi="Segoe UI" w:cs="Segoe UI"/>
      <w:sz w:val="18"/>
      <w:szCs w:val="18"/>
    </w:rPr>
  </w:style>
  <w:style w:type="character" w:styleId="Marquedecommentaire">
    <w:name w:val="annotation reference"/>
    <w:basedOn w:val="Policepardfaut"/>
    <w:uiPriority w:val="99"/>
    <w:semiHidden/>
    <w:unhideWhenUsed/>
    <w:rsid w:val="008D7F0F"/>
    <w:rPr>
      <w:sz w:val="16"/>
      <w:szCs w:val="16"/>
    </w:rPr>
  </w:style>
  <w:style w:type="paragraph" w:styleId="Commentaire">
    <w:name w:val="annotation text"/>
    <w:basedOn w:val="Normal"/>
    <w:link w:val="CommentaireCar"/>
    <w:uiPriority w:val="99"/>
    <w:semiHidden/>
    <w:unhideWhenUsed/>
    <w:rsid w:val="008D7F0F"/>
    <w:pPr>
      <w:spacing w:line="240" w:lineRule="auto"/>
    </w:pPr>
    <w:rPr>
      <w:sz w:val="20"/>
      <w:szCs w:val="20"/>
    </w:rPr>
  </w:style>
  <w:style w:type="character" w:customStyle="1" w:styleId="CommentaireCar">
    <w:name w:val="Commentaire Car"/>
    <w:basedOn w:val="Policepardfaut"/>
    <w:link w:val="Commentaire"/>
    <w:uiPriority w:val="99"/>
    <w:semiHidden/>
    <w:rsid w:val="008D7F0F"/>
    <w:rPr>
      <w:sz w:val="20"/>
      <w:szCs w:val="20"/>
    </w:rPr>
  </w:style>
  <w:style w:type="paragraph" w:styleId="Objetducommentaire">
    <w:name w:val="annotation subject"/>
    <w:basedOn w:val="Commentaire"/>
    <w:next w:val="Commentaire"/>
    <w:link w:val="ObjetducommentaireCar"/>
    <w:uiPriority w:val="99"/>
    <w:semiHidden/>
    <w:unhideWhenUsed/>
    <w:rsid w:val="008D7F0F"/>
    <w:rPr>
      <w:b/>
      <w:bCs/>
    </w:rPr>
  </w:style>
  <w:style w:type="character" w:customStyle="1" w:styleId="ObjetducommentaireCar">
    <w:name w:val="Objet du commentaire Car"/>
    <w:basedOn w:val="CommentaireCar"/>
    <w:link w:val="Objetducommentaire"/>
    <w:uiPriority w:val="99"/>
    <w:semiHidden/>
    <w:rsid w:val="008D7F0F"/>
    <w:rPr>
      <w:b/>
      <w:bCs/>
      <w:sz w:val="20"/>
      <w:szCs w:val="20"/>
    </w:rPr>
  </w:style>
  <w:style w:type="paragraph" w:styleId="NormalWeb">
    <w:name w:val="Normal (Web)"/>
    <w:basedOn w:val="Normal"/>
    <w:uiPriority w:val="99"/>
    <w:unhideWhenUsed/>
    <w:rsid w:val="0024086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31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57897">
      <w:bodyDiv w:val="1"/>
      <w:marLeft w:val="0"/>
      <w:marRight w:val="0"/>
      <w:marTop w:val="0"/>
      <w:marBottom w:val="0"/>
      <w:divBdr>
        <w:top w:val="none" w:sz="0" w:space="0" w:color="auto"/>
        <w:left w:val="none" w:sz="0" w:space="0" w:color="auto"/>
        <w:bottom w:val="none" w:sz="0" w:space="0" w:color="auto"/>
        <w:right w:val="none" w:sz="0" w:space="0" w:color="auto"/>
      </w:divBdr>
    </w:div>
    <w:div w:id="2116097891">
      <w:bodyDiv w:val="1"/>
      <w:marLeft w:val="0"/>
      <w:marRight w:val="0"/>
      <w:marTop w:val="0"/>
      <w:marBottom w:val="0"/>
      <w:divBdr>
        <w:top w:val="none" w:sz="0" w:space="0" w:color="auto"/>
        <w:left w:val="none" w:sz="0" w:space="0" w:color="auto"/>
        <w:bottom w:val="none" w:sz="0" w:space="0" w:color="auto"/>
        <w:right w:val="none" w:sz="0" w:space="0" w:color="auto"/>
      </w:divBdr>
      <w:divsChild>
        <w:div w:id="1776053359">
          <w:marLeft w:val="0"/>
          <w:marRight w:val="0"/>
          <w:marTop w:val="0"/>
          <w:marBottom w:val="0"/>
          <w:divBdr>
            <w:top w:val="none" w:sz="0" w:space="0" w:color="auto"/>
            <w:left w:val="none" w:sz="0" w:space="0" w:color="auto"/>
            <w:bottom w:val="none" w:sz="0" w:space="0" w:color="auto"/>
            <w:right w:val="none" w:sz="0" w:space="0" w:color="auto"/>
          </w:divBdr>
          <w:divsChild>
            <w:div w:id="304237726">
              <w:marLeft w:val="0"/>
              <w:marRight w:val="0"/>
              <w:marTop w:val="0"/>
              <w:marBottom w:val="0"/>
              <w:divBdr>
                <w:top w:val="none" w:sz="0" w:space="0" w:color="auto"/>
                <w:left w:val="none" w:sz="0" w:space="0" w:color="auto"/>
                <w:bottom w:val="none" w:sz="0" w:space="0" w:color="auto"/>
                <w:right w:val="none" w:sz="0" w:space="0" w:color="auto"/>
              </w:divBdr>
              <w:divsChild>
                <w:div w:id="871771099">
                  <w:marLeft w:val="0"/>
                  <w:marRight w:val="0"/>
                  <w:marTop w:val="0"/>
                  <w:marBottom w:val="0"/>
                  <w:divBdr>
                    <w:top w:val="none" w:sz="0" w:space="0" w:color="auto"/>
                    <w:left w:val="none" w:sz="0" w:space="0" w:color="auto"/>
                    <w:bottom w:val="none" w:sz="0" w:space="0" w:color="auto"/>
                    <w:right w:val="none" w:sz="0" w:space="0" w:color="auto"/>
                  </w:divBdr>
                  <w:divsChild>
                    <w:div w:id="780228519">
                      <w:marLeft w:val="0"/>
                      <w:marRight w:val="0"/>
                      <w:marTop w:val="0"/>
                      <w:marBottom w:val="0"/>
                      <w:divBdr>
                        <w:top w:val="none" w:sz="0" w:space="0" w:color="auto"/>
                        <w:left w:val="none" w:sz="0" w:space="0" w:color="auto"/>
                        <w:bottom w:val="none" w:sz="0" w:space="0" w:color="auto"/>
                        <w:right w:val="none" w:sz="0" w:space="0" w:color="auto"/>
                      </w:divBdr>
                      <w:divsChild>
                        <w:div w:id="255139386">
                          <w:marLeft w:val="0"/>
                          <w:marRight w:val="0"/>
                          <w:marTop w:val="0"/>
                          <w:marBottom w:val="0"/>
                          <w:divBdr>
                            <w:top w:val="none" w:sz="0" w:space="0" w:color="auto"/>
                            <w:left w:val="none" w:sz="0" w:space="0" w:color="auto"/>
                            <w:bottom w:val="none" w:sz="0" w:space="0" w:color="auto"/>
                            <w:right w:val="none" w:sz="0" w:space="0" w:color="auto"/>
                          </w:divBdr>
                          <w:divsChild>
                            <w:div w:id="1137184052">
                              <w:marLeft w:val="0"/>
                              <w:marRight w:val="0"/>
                              <w:marTop w:val="0"/>
                              <w:marBottom w:val="0"/>
                              <w:divBdr>
                                <w:top w:val="none" w:sz="0" w:space="0" w:color="auto"/>
                                <w:left w:val="none" w:sz="0" w:space="0" w:color="auto"/>
                                <w:bottom w:val="none" w:sz="0" w:space="0" w:color="auto"/>
                                <w:right w:val="none" w:sz="0" w:space="0" w:color="auto"/>
                              </w:divBdr>
                              <w:divsChild>
                                <w:div w:id="17038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Article.do?cidTexte=LEGITEXT000006071191&amp;idArticle=LEGIARTI000028411303&amp;dateTexte=&amp;categorieLien=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B95A3-2DE1-514E-99E8-AED4CA8C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2332</Words>
  <Characters>12829</Characters>
  <Application>Microsoft Office Word</Application>
  <DocSecurity>0</DocSecurity>
  <Lines>106</Lines>
  <Paragraphs>30</Paragraphs>
  <ScaleCrop>false</ScaleCrop>
  <Company>Bpifrance</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karina1</dc:creator>
  <cp:lastModifiedBy>Marion Aubry</cp:lastModifiedBy>
  <cp:revision>4</cp:revision>
  <dcterms:created xsi:type="dcterms:W3CDTF">2025-12-06T14:40:00Z</dcterms:created>
  <dcterms:modified xsi:type="dcterms:W3CDTF">2025-12-06T14:59:00Z</dcterms:modified>
</cp:coreProperties>
</file>