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A26FA" w14:textId="77777777" w:rsidR="00111DF4" w:rsidRPr="00121D40" w:rsidRDefault="00121D40" w:rsidP="008775F1">
      <w:pPr>
        <w:pStyle w:val="Sous-titre"/>
      </w:pPr>
      <w:bookmarkStart w:id="0" w:name="_GoBack"/>
      <w:bookmarkEnd w:id="0"/>
      <w:r w:rsidRPr="00121D40">
        <w:t>Prénom Nom</w:t>
      </w:r>
    </w:p>
    <w:p w14:paraId="44064253" w14:textId="77777777" w:rsidR="00111DF4" w:rsidRPr="00121D40" w:rsidRDefault="00121D40">
      <w:pPr>
        <w:pStyle w:val="Standard"/>
        <w:jc w:val="both"/>
        <w:rPr>
          <w:bCs/>
          <w:color w:val="000000" w:themeColor="text1"/>
          <w:sz w:val="22"/>
          <w:szCs w:val="22"/>
        </w:rPr>
      </w:pPr>
      <w:r w:rsidRPr="00121D40">
        <w:rPr>
          <w:bCs/>
          <w:color w:val="000000" w:themeColor="text1"/>
          <w:sz w:val="22"/>
          <w:szCs w:val="22"/>
        </w:rPr>
        <w:t>Adresse</w:t>
      </w:r>
    </w:p>
    <w:p w14:paraId="3F2B4D95" w14:textId="77777777" w:rsidR="00111DF4" w:rsidRPr="00121D40" w:rsidRDefault="00097260">
      <w:pPr>
        <w:pStyle w:val="Standard"/>
        <w:jc w:val="both"/>
        <w:rPr>
          <w:bCs/>
          <w:color w:val="000000" w:themeColor="text1"/>
          <w:sz w:val="22"/>
          <w:szCs w:val="22"/>
        </w:rPr>
      </w:pPr>
      <w:r w:rsidRPr="00121D40">
        <w:rPr>
          <w:bCs/>
          <w:color w:val="000000" w:themeColor="text1"/>
          <w:sz w:val="22"/>
          <w:szCs w:val="22"/>
        </w:rPr>
        <w:t xml:space="preserve">N° </w:t>
      </w:r>
      <w:proofErr w:type="gramStart"/>
      <w:r w:rsidRPr="00121D40">
        <w:rPr>
          <w:bCs/>
          <w:color w:val="000000" w:themeColor="text1"/>
          <w:sz w:val="22"/>
          <w:szCs w:val="22"/>
        </w:rPr>
        <w:t>allocataire:</w:t>
      </w:r>
      <w:proofErr w:type="gramEnd"/>
      <w:r w:rsidRPr="00121D40">
        <w:rPr>
          <w:bCs/>
          <w:color w:val="000000" w:themeColor="text1"/>
          <w:sz w:val="22"/>
          <w:szCs w:val="22"/>
        </w:rPr>
        <w:t xml:space="preserve"> </w:t>
      </w:r>
      <w:r w:rsidR="00121D40" w:rsidRPr="00121D40">
        <w:rPr>
          <w:bCs/>
          <w:color w:val="000000" w:themeColor="text1"/>
          <w:sz w:val="22"/>
          <w:szCs w:val="22"/>
        </w:rPr>
        <w:t>….</w:t>
      </w:r>
    </w:p>
    <w:p w14:paraId="7B4C2863" w14:textId="77777777" w:rsidR="00111DF4" w:rsidRPr="00121D40" w:rsidRDefault="00121D40" w:rsidP="00121D40">
      <w:pPr>
        <w:pStyle w:val="Standard"/>
        <w:tabs>
          <w:tab w:val="left" w:pos="5529"/>
        </w:tabs>
        <w:rPr>
          <w:bCs/>
          <w:color w:val="000000" w:themeColor="text1"/>
          <w:sz w:val="22"/>
          <w:szCs w:val="22"/>
        </w:rPr>
      </w:pPr>
      <w:r w:rsidRPr="00121D40">
        <w:rPr>
          <w:bCs/>
          <w:color w:val="000000" w:themeColor="text1"/>
          <w:sz w:val="22"/>
          <w:szCs w:val="22"/>
        </w:rPr>
        <w:tab/>
      </w:r>
      <w:r w:rsidR="00097260" w:rsidRPr="00121D40">
        <w:rPr>
          <w:bCs/>
          <w:color w:val="000000" w:themeColor="text1"/>
          <w:sz w:val="22"/>
          <w:szCs w:val="22"/>
        </w:rPr>
        <w:t>Conseil Départemental</w:t>
      </w:r>
      <w:r w:rsidRPr="00121D40">
        <w:rPr>
          <w:bCs/>
          <w:color w:val="000000" w:themeColor="text1"/>
          <w:sz w:val="22"/>
          <w:szCs w:val="22"/>
        </w:rPr>
        <w:t xml:space="preserve"> de …</w:t>
      </w:r>
    </w:p>
    <w:p w14:paraId="33B6674F" w14:textId="77777777" w:rsidR="00111DF4" w:rsidRDefault="00121D40" w:rsidP="00121D40">
      <w:pPr>
        <w:pStyle w:val="Standard"/>
        <w:tabs>
          <w:tab w:val="left" w:pos="5529"/>
          <w:tab w:val="left" w:pos="6096"/>
        </w:tabs>
        <w:rPr>
          <w:bCs/>
          <w:color w:val="000000" w:themeColor="text1"/>
          <w:sz w:val="22"/>
          <w:szCs w:val="22"/>
        </w:rPr>
      </w:pPr>
      <w:r w:rsidRPr="00121D40">
        <w:rPr>
          <w:bCs/>
          <w:color w:val="000000" w:themeColor="text1"/>
          <w:sz w:val="22"/>
          <w:szCs w:val="22"/>
        </w:rPr>
        <w:tab/>
        <w:t>Adresse</w:t>
      </w:r>
    </w:p>
    <w:p w14:paraId="77A61996" w14:textId="77777777" w:rsidR="00287FC0" w:rsidRPr="00287FC0" w:rsidRDefault="00287FC0" w:rsidP="00287FC0">
      <w:pPr>
        <w:pStyle w:val="Standard"/>
        <w:tabs>
          <w:tab w:val="left" w:pos="5529"/>
          <w:tab w:val="left" w:pos="6096"/>
        </w:tabs>
        <w:jc w:val="right"/>
        <w:rPr>
          <w:bCs/>
          <w:color w:val="FF0000"/>
          <w:sz w:val="22"/>
          <w:szCs w:val="22"/>
        </w:rPr>
      </w:pPr>
      <w:r w:rsidRPr="00287FC0">
        <w:rPr>
          <w:bCs/>
          <w:color w:val="FF0000"/>
          <w:sz w:val="22"/>
          <w:szCs w:val="22"/>
        </w:rPr>
        <w:t xml:space="preserve">[L’adresse </w:t>
      </w:r>
      <w:r>
        <w:rPr>
          <w:bCs/>
          <w:color w:val="FF0000"/>
          <w:sz w:val="22"/>
          <w:szCs w:val="22"/>
        </w:rPr>
        <w:t>est</w:t>
      </w:r>
      <w:r w:rsidRPr="00287FC0">
        <w:rPr>
          <w:bCs/>
          <w:color w:val="FF0000"/>
          <w:sz w:val="22"/>
          <w:szCs w:val="22"/>
        </w:rPr>
        <w:t xml:space="preserve"> indiquée à la fin du courrier de notification d</w:t>
      </w:r>
      <w:r>
        <w:rPr>
          <w:bCs/>
          <w:color w:val="FF0000"/>
          <w:sz w:val="22"/>
          <w:szCs w:val="22"/>
        </w:rPr>
        <w:t>e</w:t>
      </w:r>
      <w:r w:rsidRPr="00287FC0">
        <w:rPr>
          <w:bCs/>
          <w:color w:val="FF0000"/>
          <w:sz w:val="22"/>
          <w:szCs w:val="22"/>
        </w:rPr>
        <w:t xml:space="preserve"> l’</w:t>
      </w:r>
      <w:r>
        <w:rPr>
          <w:bCs/>
          <w:color w:val="FF0000"/>
          <w:sz w:val="22"/>
          <w:szCs w:val="22"/>
        </w:rPr>
        <w:t>indu</w:t>
      </w:r>
      <w:r w:rsidRPr="00287FC0">
        <w:rPr>
          <w:bCs/>
          <w:color w:val="FF0000"/>
          <w:sz w:val="22"/>
          <w:szCs w:val="22"/>
        </w:rPr>
        <w:t> : voies de recours]</w:t>
      </w:r>
    </w:p>
    <w:p w14:paraId="3A30922B" w14:textId="77777777" w:rsidR="00111DF4" w:rsidRPr="00121D40" w:rsidRDefault="00111DF4" w:rsidP="00121D40">
      <w:pPr>
        <w:pStyle w:val="Standard"/>
        <w:tabs>
          <w:tab w:val="left" w:pos="5529"/>
        </w:tabs>
        <w:rPr>
          <w:bCs/>
          <w:color w:val="000000" w:themeColor="text1"/>
          <w:sz w:val="22"/>
          <w:szCs w:val="22"/>
        </w:rPr>
      </w:pPr>
    </w:p>
    <w:p w14:paraId="74644D11" w14:textId="77777777" w:rsidR="00111DF4" w:rsidRPr="00121D40" w:rsidRDefault="00121D40" w:rsidP="00121D40">
      <w:pPr>
        <w:pStyle w:val="Standard"/>
        <w:tabs>
          <w:tab w:val="left" w:pos="5529"/>
          <w:tab w:val="left" w:pos="5670"/>
        </w:tabs>
        <w:rPr>
          <w:color w:val="000000" w:themeColor="text1"/>
          <w:sz w:val="22"/>
          <w:szCs w:val="22"/>
        </w:rPr>
      </w:pPr>
      <w:r w:rsidRPr="00121D40">
        <w:rPr>
          <w:color w:val="000000" w:themeColor="text1"/>
          <w:sz w:val="22"/>
          <w:szCs w:val="22"/>
        </w:rPr>
        <w:tab/>
        <w:t>Ville</w:t>
      </w:r>
      <w:r w:rsidR="00097260" w:rsidRPr="00121D40">
        <w:rPr>
          <w:color w:val="000000" w:themeColor="text1"/>
          <w:sz w:val="22"/>
          <w:szCs w:val="22"/>
        </w:rPr>
        <w:t xml:space="preserve">, le </w:t>
      </w:r>
      <w:proofErr w:type="gramStart"/>
      <w:r w:rsidR="00097260" w:rsidRPr="00121D40">
        <w:rPr>
          <w:color w:val="000000" w:themeColor="text1"/>
          <w:sz w:val="22"/>
          <w:szCs w:val="22"/>
        </w:rPr>
        <w:t xml:space="preserve"> </w:t>
      </w:r>
      <w:r w:rsidRPr="00121D40">
        <w:rPr>
          <w:color w:val="000000" w:themeColor="text1"/>
          <w:sz w:val="22"/>
          <w:szCs w:val="22"/>
        </w:rPr>
        <w:t>..</w:t>
      </w:r>
      <w:proofErr w:type="gramEnd"/>
      <w:r w:rsidRPr="00121D40">
        <w:rPr>
          <w:color w:val="000000" w:themeColor="text1"/>
          <w:sz w:val="22"/>
          <w:szCs w:val="22"/>
        </w:rPr>
        <w:t>/../17</w:t>
      </w:r>
    </w:p>
    <w:p w14:paraId="46ED7006" w14:textId="77777777" w:rsidR="00111DF4" w:rsidRPr="00121D40" w:rsidRDefault="00111DF4">
      <w:pPr>
        <w:pStyle w:val="Standard"/>
        <w:jc w:val="both"/>
        <w:rPr>
          <w:sz w:val="22"/>
          <w:szCs w:val="22"/>
        </w:rPr>
      </w:pPr>
    </w:p>
    <w:p w14:paraId="1DEF70EC" w14:textId="77777777" w:rsidR="00121D40" w:rsidRPr="00121D40" w:rsidRDefault="00121D40">
      <w:pPr>
        <w:pStyle w:val="Standard"/>
        <w:jc w:val="both"/>
        <w:rPr>
          <w:b/>
          <w:bCs/>
          <w:sz w:val="22"/>
          <w:szCs w:val="22"/>
        </w:rPr>
      </w:pPr>
    </w:p>
    <w:p w14:paraId="05CBBFF1" w14:textId="77777777" w:rsidR="00111DF4" w:rsidRPr="00121D40" w:rsidRDefault="00097260" w:rsidP="00121D40">
      <w:pPr>
        <w:pStyle w:val="Standard"/>
        <w:jc w:val="both"/>
        <w:rPr>
          <w:b/>
          <w:bCs/>
          <w:sz w:val="22"/>
          <w:szCs w:val="22"/>
        </w:rPr>
      </w:pPr>
      <w:proofErr w:type="gramStart"/>
      <w:r w:rsidRPr="00121D40">
        <w:rPr>
          <w:b/>
          <w:bCs/>
          <w:sz w:val="22"/>
          <w:szCs w:val="22"/>
        </w:rPr>
        <w:t>Objet:</w:t>
      </w:r>
      <w:proofErr w:type="gramEnd"/>
      <w:r w:rsidRPr="00121D40">
        <w:rPr>
          <w:b/>
          <w:bCs/>
          <w:sz w:val="22"/>
          <w:szCs w:val="22"/>
        </w:rPr>
        <w:t xml:space="preserve"> Recours – Contestation d’un indu de RSA.</w:t>
      </w:r>
    </w:p>
    <w:p w14:paraId="748F287C" w14:textId="77777777" w:rsidR="00111DF4" w:rsidRPr="00121D40" w:rsidRDefault="00111DF4" w:rsidP="00121D40">
      <w:pPr>
        <w:pStyle w:val="Standard"/>
        <w:jc w:val="both"/>
        <w:rPr>
          <w:sz w:val="22"/>
          <w:szCs w:val="22"/>
        </w:rPr>
      </w:pPr>
    </w:p>
    <w:p w14:paraId="33111622" w14:textId="77777777" w:rsidR="00121D40" w:rsidRPr="00121D40" w:rsidRDefault="00121D40" w:rsidP="00121D40">
      <w:pPr>
        <w:pStyle w:val="Standard"/>
        <w:jc w:val="both"/>
        <w:rPr>
          <w:sz w:val="22"/>
          <w:szCs w:val="22"/>
        </w:rPr>
      </w:pPr>
    </w:p>
    <w:p w14:paraId="318ADE36" w14:textId="77777777" w:rsidR="00111DF4" w:rsidRPr="00121D40" w:rsidRDefault="00121D40" w:rsidP="00121D40">
      <w:pPr>
        <w:pStyle w:val="Standard"/>
        <w:jc w:val="both"/>
        <w:rPr>
          <w:sz w:val="22"/>
          <w:szCs w:val="22"/>
        </w:rPr>
      </w:pPr>
      <w:r w:rsidRPr="00121D40">
        <w:rPr>
          <w:color w:val="FF0000"/>
          <w:sz w:val="22"/>
          <w:szCs w:val="22"/>
        </w:rPr>
        <w:t>Monsieur/</w:t>
      </w:r>
      <w:r w:rsidR="00097260" w:rsidRPr="00121D40">
        <w:rPr>
          <w:color w:val="FF0000"/>
          <w:sz w:val="22"/>
          <w:szCs w:val="22"/>
        </w:rPr>
        <w:t xml:space="preserve">Madame </w:t>
      </w:r>
      <w:r w:rsidRPr="00121D40">
        <w:rPr>
          <w:color w:val="FF0000"/>
          <w:sz w:val="22"/>
          <w:szCs w:val="22"/>
        </w:rPr>
        <w:t>le/</w:t>
      </w:r>
      <w:r w:rsidR="00097260" w:rsidRPr="00121D40">
        <w:rPr>
          <w:color w:val="FF0000"/>
          <w:sz w:val="22"/>
          <w:szCs w:val="22"/>
        </w:rPr>
        <w:t>la</w:t>
      </w:r>
      <w:r w:rsidR="00097260" w:rsidRPr="00121D40">
        <w:rPr>
          <w:sz w:val="22"/>
          <w:szCs w:val="22"/>
        </w:rPr>
        <w:t xml:space="preserve"> </w:t>
      </w:r>
      <w:proofErr w:type="spellStart"/>
      <w:proofErr w:type="gramStart"/>
      <w:r w:rsidR="00097260" w:rsidRPr="00121D40">
        <w:rPr>
          <w:sz w:val="22"/>
          <w:szCs w:val="22"/>
        </w:rPr>
        <w:t>Président</w:t>
      </w:r>
      <w:r w:rsidRPr="00121D40">
        <w:rPr>
          <w:color w:val="FF0000"/>
          <w:sz w:val="22"/>
          <w:szCs w:val="22"/>
        </w:rPr>
        <w:t>( e</w:t>
      </w:r>
      <w:proofErr w:type="spellEnd"/>
      <w:proofErr w:type="gramEnd"/>
      <w:r w:rsidRPr="00121D40">
        <w:rPr>
          <w:color w:val="FF0000"/>
          <w:sz w:val="22"/>
          <w:szCs w:val="22"/>
        </w:rPr>
        <w:t>)</w:t>
      </w:r>
      <w:r w:rsidR="00097260" w:rsidRPr="00121D40">
        <w:rPr>
          <w:color w:val="FF0000"/>
          <w:sz w:val="22"/>
          <w:szCs w:val="22"/>
        </w:rPr>
        <w:t xml:space="preserve"> </w:t>
      </w:r>
      <w:r w:rsidR="00097260" w:rsidRPr="00121D40">
        <w:rPr>
          <w:sz w:val="22"/>
          <w:szCs w:val="22"/>
        </w:rPr>
        <w:t>du Conseil Départemental,</w:t>
      </w:r>
    </w:p>
    <w:p w14:paraId="377B7883" w14:textId="77777777" w:rsidR="00111DF4" w:rsidRPr="00121D40" w:rsidRDefault="00111DF4" w:rsidP="00121D40">
      <w:pPr>
        <w:pStyle w:val="Standard"/>
        <w:jc w:val="both"/>
        <w:rPr>
          <w:sz w:val="22"/>
          <w:szCs w:val="22"/>
        </w:rPr>
      </w:pPr>
    </w:p>
    <w:p w14:paraId="16CB0A97" w14:textId="77777777" w:rsidR="00111DF4" w:rsidRPr="00121D40" w:rsidRDefault="00121D40" w:rsidP="00121D40">
      <w:pPr>
        <w:pStyle w:val="Standard"/>
        <w:jc w:val="both"/>
        <w:rPr>
          <w:sz w:val="22"/>
          <w:szCs w:val="22"/>
        </w:rPr>
      </w:pPr>
      <w:r w:rsidRPr="00121D40">
        <w:rPr>
          <w:sz w:val="22"/>
          <w:szCs w:val="22"/>
        </w:rPr>
        <w:t>Le</w:t>
      </w:r>
      <w:proofErr w:type="gramStart"/>
      <w:r w:rsidRPr="00121D40">
        <w:rPr>
          <w:sz w:val="22"/>
          <w:szCs w:val="22"/>
        </w:rPr>
        <w:t xml:space="preserve"> </w:t>
      </w:r>
      <w:r w:rsidRPr="00121D40">
        <w:rPr>
          <w:color w:val="FF0000"/>
          <w:sz w:val="22"/>
          <w:szCs w:val="22"/>
        </w:rPr>
        <w:t>..</w:t>
      </w:r>
      <w:proofErr w:type="gramEnd"/>
      <w:r w:rsidRPr="00121D40">
        <w:rPr>
          <w:color w:val="FF0000"/>
          <w:sz w:val="22"/>
          <w:szCs w:val="22"/>
        </w:rPr>
        <w:t>/../.</w:t>
      </w:r>
      <w:r w:rsidRPr="00121D40">
        <w:rPr>
          <w:sz w:val="22"/>
          <w:szCs w:val="22"/>
        </w:rPr>
        <w:t>.</w:t>
      </w:r>
      <w:r w:rsidR="00097260" w:rsidRPr="00121D40">
        <w:rPr>
          <w:sz w:val="22"/>
          <w:szCs w:val="22"/>
        </w:rPr>
        <w:t>, la Caisse d'Allocations Familiales m'</w:t>
      </w:r>
      <w:r w:rsidRPr="00121D40">
        <w:rPr>
          <w:sz w:val="22"/>
          <w:szCs w:val="22"/>
        </w:rPr>
        <w:t xml:space="preserve">a </w:t>
      </w:r>
      <w:r w:rsidR="00097260" w:rsidRPr="00121D40">
        <w:rPr>
          <w:sz w:val="22"/>
          <w:szCs w:val="22"/>
        </w:rPr>
        <w:t>inform</w:t>
      </w:r>
      <w:r w:rsidRPr="00121D40">
        <w:rPr>
          <w:sz w:val="22"/>
          <w:szCs w:val="22"/>
        </w:rPr>
        <w:t>é</w:t>
      </w:r>
      <w:r w:rsidR="00097260" w:rsidRPr="00121D40">
        <w:rPr>
          <w:sz w:val="22"/>
          <w:szCs w:val="22"/>
        </w:rPr>
        <w:t xml:space="preserve"> par courrier que j’étais </w:t>
      </w:r>
      <w:r w:rsidRPr="00121D40">
        <w:rPr>
          <w:sz w:val="22"/>
          <w:szCs w:val="22"/>
        </w:rPr>
        <w:t xml:space="preserve">soi-disant </w:t>
      </w:r>
      <w:r w:rsidR="00097260" w:rsidRPr="00121D40">
        <w:rPr>
          <w:sz w:val="22"/>
          <w:szCs w:val="22"/>
        </w:rPr>
        <w:t xml:space="preserve">redevable d’un </w:t>
      </w:r>
      <w:r w:rsidRPr="00121D40">
        <w:rPr>
          <w:iCs/>
          <w:sz w:val="22"/>
          <w:szCs w:val="22"/>
        </w:rPr>
        <w:t>indu</w:t>
      </w:r>
      <w:r w:rsidR="00097260" w:rsidRPr="00121D40">
        <w:rPr>
          <w:iCs/>
          <w:sz w:val="22"/>
          <w:szCs w:val="22"/>
        </w:rPr>
        <w:t xml:space="preserve"> RSA de</w:t>
      </w:r>
      <w:r w:rsidR="00097260" w:rsidRPr="00121D40">
        <w:rPr>
          <w:i/>
          <w:iCs/>
          <w:sz w:val="22"/>
          <w:szCs w:val="22"/>
        </w:rPr>
        <w:t xml:space="preserve"> </w:t>
      </w:r>
      <w:r w:rsidRPr="00121D40">
        <w:rPr>
          <w:i/>
          <w:iCs/>
          <w:color w:val="FF0000"/>
          <w:sz w:val="22"/>
          <w:szCs w:val="22"/>
        </w:rPr>
        <w:t>…</w:t>
      </w:r>
      <w:r w:rsidRPr="00121D40">
        <w:rPr>
          <w:color w:val="FF0000"/>
          <w:sz w:val="22"/>
          <w:szCs w:val="22"/>
        </w:rPr>
        <w:t>€</w:t>
      </w:r>
      <w:r w:rsidRPr="00121D40">
        <w:rPr>
          <w:sz w:val="22"/>
          <w:szCs w:val="22"/>
        </w:rPr>
        <w:t>.</w:t>
      </w:r>
    </w:p>
    <w:p w14:paraId="066203E6" w14:textId="77777777" w:rsidR="00111DF4" w:rsidRPr="00121D40" w:rsidRDefault="00111DF4" w:rsidP="00121D40">
      <w:pPr>
        <w:pStyle w:val="Standard"/>
        <w:jc w:val="both"/>
        <w:rPr>
          <w:sz w:val="22"/>
          <w:szCs w:val="22"/>
        </w:rPr>
      </w:pPr>
    </w:p>
    <w:p w14:paraId="793C3524" w14:textId="77777777" w:rsidR="00111DF4" w:rsidRPr="00121D40" w:rsidRDefault="00121D40" w:rsidP="00121D40">
      <w:pPr>
        <w:pStyle w:val="Standard"/>
        <w:jc w:val="both"/>
        <w:rPr>
          <w:sz w:val="22"/>
          <w:szCs w:val="22"/>
        </w:rPr>
      </w:pPr>
      <w:r w:rsidRPr="00121D40">
        <w:rPr>
          <w:sz w:val="22"/>
          <w:szCs w:val="22"/>
        </w:rPr>
        <w:t xml:space="preserve">La CAF prétend que cet indu est lié à l’intégration, dans mes ressources, de la Prestation de Compensation du Handicap que je touche en tant qu’aidant familial de </w:t>
      </w:r>
      <w:r w:rsidRPr="00121D40">
        <w:rPr>
          <w:color w:val="FF0000"/>
          <w:sz w:val="22"/>
          <w:szCs w:val="22"/>
        </w:rPr>
        <w:t xml:space="preserve">mon/mes </w:t>
      </w:r>
      <w:r w:rsidRPr="00121D40">
        <w:rPr>
          <w:sz w:val="22"/>
          <w:szCs w:val="22"/>
        </w:rPr>
        <w:t>enfant(s).</w:t>
      </w:r>
    </w:p>
    <w:p w14:paraId="15CF94D3" w14:textId="77777777" w:rsidR="00111DF4" w:rsidRPr="00121D40" w:rsidRDefault="00111DF4" w:rsidP="00121D40">
      <w:pPr>
        <w:pStyle w:val="Standard"/>
        <w:jc w:val="both"/>
        <w:rPr>
          <w:sz w:val="22"/>
          <w:szCs w:val="22"/>
        </w:rPr>
      </w:pPr>
    </w:p>
    <w:p w14:paraId="578D281C" w14:textId="77777777" w:rsidR="00111DF4" w:rsidRPr="00121D40" w:rsidRDefault="00097260" w:rsidP="00121D40">
      <w:pPr>
        <w:pStyle w:val="Standard"/>
        <w:jc w:val="both"/>
        <w:rPr>
          <w:b/>
          <w:bCs/>
          <w:sz w:val="22"/>
          <w:szCs w:val="22"/>
        </w:rPr>
      </w:pPr>
      <w:r w:rsidRPr="00121D40">
        <w:rPr>
          <w:b/>
          <w:bCs/>
          <w:sz w:val="22"/>
          <w:szCs w:val="22"/>
        </w:rPr>
        <w:t xml:space="preserve">Ce montant n’aurait pas dû être intégré dans mes ressources pour le calcul du RSA car la PCH, lorsqu’elle est perçue pour un enfant, est explicitement exclue des ressources, selon l’article R262-11 du </w:t>
      </w:r>
      <w:proofErr w:type="gramStart"/>
      <w:r w:rsidRPr="00121D40">
        <w:rPr>
          <w:b/>
          <w:bCs/>
          <w:sz w:val="22"/>
          <w:szCs w:val="22"/>
        </w:rPr>
        <w:t>CASF:</w:t>
      </w:r>
      <w:proofErr w:type="gramEnd"/>
    </w:p>
    <w:p w14:paraId="5D48A29F" w14:textId="77777777" w:rsidR="00111DF4" w:rsidRPr="00121D40" w:rsidRDefault="00111DF4" w:rsidP="00121D40">
      <w:pPr>
        <w:pStyle w:val="Standard"/>
        <w:jc w:val="both"/>
        <w:rPr>
          <w:sz w:val="22"/>
          <w:szCs w:val="22"/>
        </w:rPr>
      </w:pPr>
    </w:p>
    <w:p w14:paraId="46938F8B" w14:textId="77777777" w:rsidR="00111DF4" w:rsidRPr="00121D40" w:rsidRDefault="00097260" w:rsidP="00121D40">
      <w:pPr>
        <w:pStyle w:val="Standard"/>
        <w:jc w:val="both"/>
        <w:rPr>
          <w:i/>
          <w:iCs/>
          <w:sz w:val="22"/>
          <w:szCs w:val="22"/>
        </w:rPr>
      </w:pPr>
      <w:proofErr w:type="gramStart"/>
      <w:r w:rsidRPr="00121D40">
        <w:rPr>
          <w:i/>
          <w:iCs/>
          <w:sz w:val="22"/>
          <w:szCs w:val="22"/>
        </w:rPr>
        <w:t>«Pour</w:t>
      </w:r>
      <w:proofErr w:type="gramEnd"/>
      <w:r w:rsidRPr="00121D40">
        <w:rPr>
          <w:i/>
          <w:iCs/>
          <w:sz w:val="22"/>
          <w:szCs w:val="22"/>
        </w:rPr>
        <w:t xml:space="preserve"> l'application de l'article R. 262-6, </w:t>
      </w:r>
      <w:r w:rsidRPr="00121D40">
        <w:rPr>
          <w:i/>
          <w:iCs/>
          <w:sz w:val="22"/>
          <w:szCs w:val="22"/>
          <w:u w:val="single"/>
        </w:rPr>
        <w:t>il n'est pas tenu compte</w:t>
      </w:r>
      <w:r w:rsidRPr="00121D40">
        <w:rPr>
          <w:i/>
          <w:iCs/>
          <w:sz w:val="22"/>
          <w:szCs w:val="22"/>
        </w:rPr>
        <w:t xml:space="preserve"> :</w:t>
      </w:r>
    </w:p>
    <w:p w14:paraId="25F6A2E9" w14:textId="77777777" w:rsidR="00111DF4" w:rsidRPr="00121D40" w:rsidRDefault="00097260" w:rsidP="00121D40">
      <w:pPr>
        <w:pStyle w:val="Standard"/>
        <w:jc w:val="both"/>
        <w:rPr>
          <w:i/>
          <w:iCs/>
          <w:sz w:val="22"/>
          <w:szCs w:val="22"/>
        </w:rPr>
      </w:pPr>
      <w:r w:rsidRPr="00121D40">
        <w:rPr>
          <w:i/>
          <w:iCs/>
          <w:sz w:val="22"/>
          <w:szCs w:val="22"/>
        </w:rPr>
        <w:t>(…)</w:t>
      </w:r>
    </w:p>
    <w:p w14:paraId="01D48F34" w14:textId="77777777" w:rsidR="00111DF4" w:rsidRPr="00121D40" w:rsidRDefault="00097260" w:rsidP="00121D40">
      <w:pPr>
        <w:pStyle w:val="Standard"/>
        <w:jc w:val="both"/>
        <w:rPr>
          <w:i/>
          <w:iCs/>
          <w:sz w:val="22"/>
          <w:szCs w:val="22"/>
        </w:rPr>
      </w:pPr>
      <w:r w:rsidRPr="00121D40">
        <w:rPr>
          <w:i/>
          <w:iCs/>
          <w:sz w:val="22"/>
          <w:szCs w:val="22"/>
        </w:rPr>
        <w:t xml:space="preserve">6° De l'allocation d'éducation de l'enfant handicapé et de ses compléments mentionnés à l'article L. 541-1 du code de la sécurité sociale, de la majoration spécifique pour personne isolée mentionnée à l'article L. 541-4 du même code </w:t>
      </w:r>
      <w:r w:rsidRPr="00121D40">
        <w:rPr>
          <w:i/>
          <w:iCs/>
          <w:sz w:val="22"/>
          <w:szCs w:val="22"/>
          <w:u w:val="single"/>
        </w:rPr>
        <w:t xml:space="preserve">ainsi que de la prestation de compensation du handicap lorsqu'elle est perçue en application de l'article 94 de la loi n° 2007-1786 du 19 décembre 2007 de financement de la sécurité sociale pour </w:t>
      </w:r>
      <w:proofErr w:type="gramStart"/>
      <w:r w:rsidRPr="00121D40">
        <w:rPr>
          <w:i/>
          <w:iCs/>
          <w:sz w:val="22"/>
          <w:szCs w:val="22"/>
          <w:u w:val="single"/>
        </w:rPr>
        <w:t>2008»</w:t>
      </w:r>
      <w:proofErr w:type="gramEnd"/>
    </w:p>
    <w:p w14:paraId="5286671A" w14:textId="77777777" w:rsidR="00111DF4" w:rsidRPr="00121D40" w:rsidRDefault="00111DF4" w:rsidP="00121D40">
      <w:pPr>
        <w:pStyle w:val="Standard"/>
        <w:jc w:val="both"/>
        <w:rPr>
          <w:sz w:val="22"/>
          <w:szCs w:val="22"/>
        </w:rPr>
      </w:pPr>
    </w:p>
    <w:p w14:paraId="092E268B"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sidRPr="00121D40">
        <w:rPr>
          <w:rFonts w:eastAsia="Times New Roman" w:cs="Calibri"/>
          <w:color w:val="000000"/>
          <w:kern w:val="0"/>
          <w:sz w:val="22"/>
          <w:szCs w:val="22"/>
          <w:lang w:eastAsia="fr-FR"/>
        </w:rPr>
        <w:t>Le Conseil d'Etat a confirmé dans un </w:t>
      </w:r>
      <w:hyperlink r:id="rId7" w:tgtFrame="_blank" w:history="1">
        <w:r w:rsidRPr="00121D40">
          <w:rPr>
            <w:rFonts w:eastAsia="Times New Roman" w:cs="Calibri"/>
            <w:color w:val="0000FF"/>
            <w:kern w:val="0"/>
            <w:sz w:val="22"/>
            <w:szCs w:val="22"/>
            <w:u w:val="single"/>
            <w:lang w:eastAsia="fr-FR"/>
          </w:rPr>
          <w:t>arrêt récent du 10 février 2017</w:t>
        </w:r>
      </w:hyperlink>
      <w:r w:rsidRPr="00121D40">
        <w:rPr>
          <w:rFonts w:eastAsia="Times New Roman" w:cs="Calibri"/>
          <w:color w:val="000000"/>
          <w:kern w:val="0"/>
          <w:sz w:val="22"/>
          <w:szCs w:val="22"/>
          <w:lang w:eastAsia="fr-FR"/>
        </w:rPr>
        <w:t> qu' "</w:t>
      </w:r>
      <w:r w:rsidRPr="00121D40">
        <w:rPr>
          <w:rFonts w:eastAsia="Times New Roman" w:cs="Calibri"/>
          <w:i/>
          <w:iCs/>
          <w:color w:val="000000"/>
          <w:kern w:val="0"/>
          <w:sz w:val="22"/>
          <w:szCs w:val="22"/>
          <w:lang w:eastAsia="fr-FR"/>
        </w:rPr>
        <w:t>il résulte (...) du 6° de l'article R. 262-11 du code de l'action sociale et des familles, que lorsque la prestation de compensation du handicap est perçue en application de l'article 94 de la loi du 19 décembre 2007, qui a ouvert le droit à cette prestation au profit des enfants, en complément de l'allocation d'éducation de l'enfant handicapé, </w:t>
      </w:r>
      <w:r w:rsidRPr="00121D40">
        <w:rPr>
          <w:rFonts w:eastAsia="Times New Roman" w:cs="Calibri"/>
          <w:i/>
          <w:iCs/>
          <w:color w:val="000000"/>
          <w:kern w:val="0"/>
          <w:sz w:val="22"/>
          <w:szCs w:val="22"/>
          <w:u w:val="single"/>
          <w:lang w:eastAsia="fr-FR"/>
        </w:rPr>
        <w:t>il ne doit pas en être tenu compte pour le calcul des ressources déterminant le montant du revenu de solidarité active.</w:t>
      </w:r>
      <w:r w:rsidRPr="00121D40">
        <w:rPr>
          <w:rFonts w:eastAsia="Times New Roman" w:cs="Calibri"/>
          <w:color w:val="000000"/>
          <w:kern w:val="0"/>
          <w:sz w:val="22"/>
          <w:szCs w:val="22"/>
          <w:lang w:eastAsia="fr-FR"/>
        </w:rPr>
        <w:t>"</w:t>
      </w:r>
    </w:p>
    <w:p w14:paraId="4A8961A9"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13746EF5"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Pr>
          <w:rFonts w:eastAsia="Times New Roman" w:cs="Calibri"/>
          <w:color w:val="000000"/>
          <w:kern w:val="0"/>
          <w:sz w:val="22"/>
          <w:szCs w:val="22"/>
          <w:lang w:eastAsia="fr-FR"/>
        </w:rPr>
        <w:t>Je perçois</w:t>
      </w:r>
      <w:r w:rsidRPr="00121D40">
        <w:rPr>
          <w:rFonts w:eastAsia="Times New Roman" w:cs="Calibri"/>
          <w:color w:val="000000"/>
          <w:kern w:val="0"/>
          <w:sz w:val="22"/>
          <w:szCs w:val="22"/>
          <w:lang w:eastAsia="fr-FR"/>
        </w:rPr>
        <w:t xml:space="preserve"> la PCH en complément de l'AEEH de base pour </w:t>
      </w:r>
      <w:r w:rsidRPr="00121D40">
        <w:rPr>
          <w:rFonts w:eastAsia="Times New Roman" w:cs="Calibri"/>
          <w:color w:val="FF0000"/>
          <w:kern w:val="0"/>
          <w:sz w:val="22"/>
          <w:szCs w:val="22"/>
          <w:lang w:eastAsia="fr-FR"/>
        </w:rPr>
        <w:t xml:space="preserve">mon/mes </w:t>
      </w:r>
      <w:proofErr w:type="spellStart"/>
      <w:r w:rsidRPr="00121D40">
        <w:rPr>
          <w:rFonts w:eastAsia="Times New Roman" w:cs="Calibri"/>
          <w:color w:val="000000"/>
          <w:kern w:val="0"/>
          <w:sz w:val="22"/>
          <w:szCs w:val="22"/>
          <w:lang w:eastAsia="fr-FR"/>
        </w:rPr>
        <w:t>enfant</w:t>
      </w:r>
      <w:r w:rsidRPr="00121D40">
        <w:rPr>
          <w:rFonts w:eastAsia="Times New Roman" w:cs="Calibri"/>
          <w:color w:val="FF0000"/>
          <w:kern w:val="0"/>
          <w:sz w:val="22"/>
          <w:szCs w:val="22"/>
          <w:lang w:eastAsia="fr-FR"/>
        </w:rPr>
        <w:t>(s</w:t>
      </w:r>
      <w:proofErr w:type="spellEnd"/>
      <w:r w:rsidRPr="00121D40">
        <w:rPr>
          <w:rFonts w:eastAsia="Times New Roman" w:cs="Calibri"/>
          <w:color w:val="FF0000"/>
          <w:kern w:val="0"/>
          <w:sz w:val="22"/>
          <w:szCs w:val="22"/>
          <w:lang w:eastAsia="fr-FR"/>
        </w:rPr>
        <w:t xml:space="preserve">) </w:t>
      </w:r>
      <w:r w:rsidRPr="00121D40">
        <w:rPr>
          <w:rFonts w:eastAsia="Times New Roman" w:cs="Calibri"/>
          <w:color w:val="000000"/>
          <w:kern w:val="0"/>
          <w:sz w:val="22"/>
          <w:szCs w:val="22"/>
          <w:lang w:eastAsia="fr-FR"/>
        </w:rPr>
        <w:t>handicapé</w:t>
      </w:r>
      <w:r w:rsidRPr="00121D40">
        <w:rPr>
          <w:rFonts w:eastAsia="Times New Roman" w:cs="Calibri"/>
          <w:color w:val="FF0000"/>
          <w:kern w:val="0"/>
          <w:sz w:val="22"/>
          <w:szCs w:val="22"/>
          <w:lang w:eastAsia="fr-FR"/>
        </w:rPr>
        <w:t>(s). </w:t>
      </w:r>
      <w:r w:rsidRPr="00121D40">
        <w:rPr>
          <w:rFonts w:eastAsia="Times New Roman" w:cs="Calibri"/>
          <w:color w:val="000000"/>
          <w:kern w:val="0"/>
          <w:sz w:val="22"/>
          <w:szCs w:val="22"/>
          <w:lang w:eastAsia="fr-FR"/>
        </w:rPr>
        <w:t>C'est donc à tort que </w:t>
      </w:r>
      <w:r>
        <w:rPr>
          <w:rFonts w:eastAsia="Times New Roman" w:cs="Calibri"/>
          <w:color w:val="000000"/>
          <w:kern w:val="0"/>
          <w:sz w:val="22"/>
          <w:szCs w:val="22"/>
          <w:lang w:eastAsia="fr-FR"/>
        </w:rPr>
        <w:t>la CAF m’a réclamé</w:t>
      </w:r>
      <w:r w:rsidRPr="00121D40">
        <w:rPr>
          <w:rFonts w:eastAsia="Times New Roman" w:cs="Calibri"/>
          <w:color w:val="000000"/>
          <w:kern w:val="0"/>
          <w:sz w:val="22"/>
          <w:szCs w:val="22"/>
          <w:lang w:eastAsia="fr-FR"/>
        </w:rPr>
        <w:t xml:space="preserve"> un indu. </w:t>
      </w:r>
    </w:p>
    <w:p w14:paraId="74D16951"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20C25119"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sidRPr="00287FC0">
        <w:rPr>
          <w:rFonts w:eastAsia="Times New Roman" w:cs="Calibri"/>
          <w:color w:val="000000"/>
          <w:kern w:val="0"/>
          <w:sz w:val="22"/>
          <w:szCs w:val="22"/>
          <w:lang w:eastAsia="fr-FR"/>
        </w:rPr>
        <w:t xml:space="preserve">De plus, immédiatement après avoir constaté le soi-disant trop-perçu, la CAF a commencé à faire des prélèvements sur mes prestations. Or </w:t>
      </w:r>
      <w:r w:rsidRPr="00287FC0">
        <w:rPr>
          <w:rFonts w:cs="Calibri"/>
          <w:color w:val="000000"/>
          <w:sz w:val="22"/>
          <w:szCs w:val="22"/>
          <w:shd w:val="clear" w:color="auto" w:fill="FFFFFF"/>
        </w:rPr>
        <w:t>la</w:t>
      </w:r>
      <w:r w:rsidRPr="00287FC0">
        <w:rPr>
          <w:rStyle w:val="apple-converted-space"/>
          <w:rFonts w:cs="Calibri"/>
          <w:color w:val="000000"/>
          <w:sz w:val="22"/>
          <w:szCs w:val="22"/>
          <w:shd w:val="clear" w:color="auto" w:fill="FFFFFF"/>
        </w:rPr>
        <w:t> </w:t>
      </w:r>
      <w:hyperlink r:id="rId8" w:tgtFrame="_blank" w:history="1">
        <w:r w:rsidRPr="00287FC0">
          <w:rPr>
            <w:rStyle w:val="Lienhypertexte"/>
            <w:rFonts w:cs="Calibri"/>
            <w:sz w:val="22"/>
            <w:szCs w:val="22"/>
            <w:shd w:val="clear" w:color="auto" w:fill="FFFFFF"/>
          </w:rPr>
          <w:t>circulaire interministérielle</w:t>
        </w:r>
      </w:hyperlink>
      <w:r w:rsidRPr="00287FC0">
        <w:rPr>
          <w:rStyle w:val="apple-converted-space"/>
          <w:rFonts w:cs="Calibri"/>
          <w:color w:val="000000"/>
          <w:sz w:val="22"/>
          <w:szCs w:val="22"/>
          <w:shd w:val="clear" w:color="auto" w:fill="FFFFFF"/>
        </w:rPr>
        <w:t> </w:t>
      </w:r>
      <w:r w:rsidRPr="00287FC0">
        <w:rPr>
          <w:rFonts w:cs="Calibri"/>
          <w:color w:val="000000"/>
          <w:sz w:val="22"/>
          <w:szCs w:val="22"/>
          <w:shd w:val="clear" w:color="auto" w:fill="FFFFFF"/>
        </w:rPr>
        <w:t>relative au recouvrement des indus interdit aux organismes sociaux de procéder au recouvrement d’un indu avant l’expiration des délais de recours (cf. point 3.1) :</w:t>
      </w:r>
      <w:r w:rsidRPr="00287FC0">
        <w:rPr>
          <w:rStyle w:val="apple-converted-space"/>
          <w:rFonts w:cs="Calibri"/>
          <w:color w:val="000000"/>
          <w:sz w:val="22"/>
          <w:szCs w:val="22"/>
          <w:shd w:val="clear" w:color="auto" w:fill="FFFFFF"/>
        </w:rPr>
        <w:t> </w:t>
      </w:r>
      <w:r w:rsidRPr="00287FC0">
        <w:rPr>
          <w:rFonts w:cs="Calibri"/>
          <w:i/>
          <w:iCs/>
          <w:color w:val="000000"/>
          <w:sz w:val="22"/>
          <w:szCs w:val="22"/>
          <w:shd w:val="clear" w:color="auto" w:fill="FFFFFF"/>
        </w:rPr>
        <w:t>"Les caisses devront toutefois attendre la décision définitive du tribunal pour recouvrer l’indu et notamment sur les prestations futures si l’assuré conteste le caractère indu des sommes réclamées, compte tenu des dispositions déjà citées prévues aux articles L.133-4-1, L.553-2, L. 821-5-1, L. 835- 3 du code de la sécurité sociale et L. 351-11 du code de la c</w:t>
      </w:r>
      <w:r w:rsidR="00287FC0">
        <w:rPr>
          <w:rFonts w:cs="Calibri"/>
          <w:i/>
          <w:iCs/>
          <w:color w:val="000000"/>
          <w:sz w:val="22"/>
          <w:szCs w:val="22"/>
          <w:shd w:val="clear" w:color="auto" w:fill="FFFFFF"/>
        </w:rPr>
        <w:t>onstruction et de l’habitation.</w:t>
      </w:r>
      <w:r w:rsidRPr="00287FC0">
        <w:rPr>
          <w:rFonts w:cs="Calibri"/>
          <w:i/>
          <w:iCs/>
          <w:color w:val="000000"/>
          <w:sz w:val="22"/>
          <w:szCs w:val="22"/>
          <w:shd w:val="clear" w:color="auto" w:fill="FFFFFF"/>
        </w:rPr>
        <w:t>"</w:t>
      </w:r>
      <w:r w:rsidR="00287FC0">
        <w:rPr>
          <w:rFonts w:cs="Calibri"/>
          <w:i/>
          <w:iCs/>
          <w:color w:val="000000"/>
          <w:sz w:val="22"/>
          <w:szCs w:val="22"/>
          <w:shd w:val="clear" w:color="auto" w:fill="FFFFFF"/>
        </w:rPr>
        <w:t xml:space="preserve"> </w:t>
      </w:r>
      <w:r w:rsidR="00287FC0" w:rsidRPr="00287FC0">
        <w:rPr>
          <w:rFonts w:cs="Calibri"/>
          <w:i/>
          <w:iCs/>
          <w:color w:val="FF0000"/>
          <w:sz w:val="22"/>
          <w:szCs w:val="22"/>
          <w:shd w:val="clear" w:color="auto" w:fill="FFFFFF"/>
        </w:rPr>
        <w:t>[</w:t>
      </w:r>
      <w:proofErr w:type="gramStart"/>
      <w:r w:rsidR="00287FC0" w:rsidRPr="00287FC0">
        <w:rPr>
          <w:rFonts w:cs="Calibri"/>
          <w:i/>
          <w:iCs/>
          <w:color w:val="FF0000"/>
          <w:sz w:val="22"/>
          <w:szCs w:val="22"/>
          <w:shd w:val="clear" w:color="auto" w:fill="FFFFFF"/>
        </w:rPr>
        <w:t>à</w:t>
      </w:r>
      <w:proofErr w:type="gramEnd"/>
      <w:r w:rsidR="00287FC0" w:rsidRPr="00287FC0">
        <w:rPr>
          <w:rFonts w:cs="Calibri"/>
          <w:i/>
          <w:iCs/>
          <w:color w:val="FF0000"/>
          <w:sz w:val="22"/>
          <w:szCs w:val="22"/>
          <w:shd w:val="clear" w:color="auto" w:fill="FFFFFF"/>
        </w:rPr>
        <w:t xml:space="preserve"> supprimer si ce n’est pas le cas]</w:t>
      </w:r>
    </w:p>
    <w:p w14:paraId="59ADEB8C" w14:textId="77777777" w:rsidR="00111DF4" w:rsidRPr="00121D40" w:rsidRDefault="00111DF4" w:rsidP="00121D40">
      <w:pPr>
        <w:pStyle w:val="Standard"/>
        <w:jc w:val="both"/>
        <w:rPr>
          <w:sz w:val="22"/>
          <w:szCs w:val="22"/>
        </w:rPr>
      </w:pPr>
    </w:p>
    <w:p w14:paraId="00322DEF" w14:textId="77777777" w:rsidR="00111DF4" w:rsidRPr="00121D40" w:rsidRDefault="00097260" w:rsidP="00121D40">
      <w:pPr>
        <w:pStyle w:val="Standard"/>
        <w:jc w:val="both"/>
        <w:rPr>
          <w:b/>
          <w:bCs/>
          <w:sz w:val="22"/>
          <w:szCs w:val="22"/>
        </w:rPr>
      </w:pPr>
      <w:r w:rsidRPr="00121D40">
        <w:rPr>
          <w:b/>
          <w:bCs/>
          <w:sz w:val="22"/>
          <w:szCs w:val="22"/>
        </w:rPr>
        <w:t xml:space="preserve">Je vous prie donc de bien </w:t>
      </w:r>
      <w:proofErr w:type="gramStart"/>
      <w:r w:rsidRPr="00121D40">
        <w:rPr>
          <w:b/>
          <w:bCs/>
          <w:sz w:val="22"/>
          <w:szCs w:val="22"/>
        </w:rPr>
        <w:t>vouloir:</w:t>
      </w:r>
      <w:proofErr w:type="gramEnd"/>
    </w:p>
    <w:p w14:paraId="2018D5A9" w14:textId="77777777" w:rsidR="00111DF4" w:rsidRDefault="00097260" w:rsidP="00121D40">
      <w:pPr>
        <w:pStyle w:val="Standard"/>
        <w:tabs>
          <w:tab w:val="left" w:pos="851"/>
        </w:tabs>
        <w:ind w:left="851" w:hanging="284"/>
        <w:jc w:val="both"/>
        <w:rPr>
          <w:b/>
          <w:bCs/>
          <w:color w:val="FF0000"/>
          <w:sz w:val="22"/>
          <w:szCs w:val="22"/>
        </w:rPr>
      </w:pPr>
      <w:r w:rsidRPr="00121D40">
        <w:rPr>
          <w:b/>
          <w:bCs/>
          <w:sz w:val="22"/>
          <w:szCs w:val="22"/>
        </w:rPr>
        <w:t>-</w:t>
      </w:r>
      <w:r w:rsidR="00121D40" w:rsidRPr="00121D40">
        <w:rPr>
          <w:b/>
          <w:bCs/>
          <w:sz w:val="22"/>
          <w:szCs w:val="22"/>
        </w:rPr>
        <w:tab/>
      </w:r>
      <w:r w:rsidR="00287FC0">
        <w:rPr>
          <w:b/>
          <w:bCs/>
          <w:sz w:val="22"/>
          <w:szCs w:val="22"/>
        </w:rPr>
        <w:t>a</w:t>
      </w:r>
      <w:r w:rsidRPr="00121D40">
        <w:rPr>
          <w:b/>
          <w:bCs/>
          <w:sz w:val="22"/>
          <w:szCs w:val="22"/>
        </w:rPr>
        <w:t xml:space="preserve">nnuler le trop-perçu de </w:t>
      </w:r>
      <w:r w:rsidR="00121D40" w:rsidRPr="00121D40">
        <w:rPr>
          <w:b/>
          <w:bCs/>
          <w:color w:val="FF0000"/>
          <w:sz w:val="22"/>
          <w:szCs w:val="22"/>
        </w:rPr>
        <w:t>…</w:t>
      </w:r>
      <w:r w:rsidRPr="00121D40">
        <w:rPr>
          <w:b/>
          <w:bCs/>
          <w:color w:val="FF0000"/>
          <w:sz w:val="22"/>
          <w:szCs w:val="22"/>
        </w:rPr>
        <w:t xml:space="preserve"> €</w:t>
      </w:r>
    </w:p>
    <w:p w14:paraId="73C971D6" w14:textId="77777777" w:rsidR="00287FC0" w:rsidRPr="00121D40" w:rsidRDefault="00287FC0" w:rsidP="00121D40">
      <w:pPr>
        <w:pStyle w:val="Standard"/>
        <w:tabs>
          <w:tab w:val="left" w:pos="851"/>
        </w:tabs>
        <w:ind w:left="851" w:hanging="284"/>
        <w:jc w:val="both"/>
        <w:rPr>
          <w:b/>
          <w:bCs/>
          <w:color w:val="FF0000"/>
          <w:sz w:val="22"/>
          <w:szCs w:val="22"/>
        </w:rPr>
      </w:pPr>
      <w:r>
        <w:rPr>
          <w:b/>
          <w:bCs/>
          <w:sz w:val="22"/>
          <w:szCs w:val="22"/>
        </w:rPr>
        <w:t xml:space="preserve">- </w:t>
      </w:r>
      <w:r>
        <w:rPr>
          <w:b/>
          <w:bCs/>
          <w:sz w:val="22"/>
          <w:szCs w:val="22"/>
        </w:rPr>
        <w:tab/>
        <w:t xml:space="preserve">rembourser dès réception du présent courrier les sommes indûment prélevées </w:t>
      </w:r>
      <w:r w:rsidRPr="00287FC0">
        <w:rPr>
          <w:rFonts w:cs="Calibri"/>
          <w:i/>
          <w:iCs/>
          <w:color w:val="FF0000"/>
          <w:sz w:val="22"/>
          <w:szCs w:val="22"/>
          <w:shd w:val="clear" w:color="auto" w:fill="FFFFFF"/>
        </w:rPr>
        <w:t>[à supprimer si ce n’est pas le cas]</w:t>
      </w:r>
    </w:p>
    <w:p w14:paraId="122104DF" w14:textId="77777777" w:rsidR="00111DF4" w:rsidRPr="00121D40" w:rsidRDefault="00097260" w:rsidP="00121D40">
      <w:pPr>
        <w:pStyle w:val="Standard"/>
        <w:tabs>
          <w:tab w:val="left" w:pos="851"/>
        </w:tabs>
        <w:ind w:left="851" w:hanging="284"/>
        <w:jc w:val="both"/>
        <w:rPr>
          <w:b/>
          <w:bCs/>
          <w:sz w:val="22"/>
          <w:szCs w:val="22"/>
        </w:rPr>
      </w:pPr>
      <w:r w:rsidRPr="00121D40">
        <w:rPr>
          <w:b/>
          <w:bCs/>
          <w:sz w:val="22"/>
          <w:szCs w:val="22"/>
        </w:rPr>
        <w:lastRenderedPageBreak/>
        <w:t>-</w:t>
      </w:r>
      <w:r w:rsidR="00121D40" w:rsidRPr="00121D40">
        <w:rPr>
          <w:b/>
          <w:bCs/>
          <w:sz w:val="22"/>
          <w:szCs w:val="22"/>
        </w:rPr>
        <w:tab/>
      </w:r>
      <w:r w:rsidR="00287FC0">
        <w:rPr>
          <w:b/>
          <w:bCs/>
          <w:sz w:val="22"/>
          <w:szCs w:val="22"/>
        </w:rPr>
        <w:t>v</w:t>
      </w:r>
      <w:r w:rsidRPr="00121D40">
        <w:rPr>
          <w:b/>
          <w:bCs/>
          <w:sz w:val="22"/>
          <w:szCs w:val="22"/>
        </w:rPr>
        <w:t>eiller à régulariser mes droits pour l’avenir, la PCH enfant que je touche n’ayant pas lieu de modifier mes droits au RSA.</w:t>
      </w:r>
    </w:p>
    <w:p w14:paraId="17C4A8AB" w14:textId="77777777" w:rsidR="00111DF4" w:rsidRPr="00121D40" w:rsidRDefault="00111DF4" w:rsidP="00121D40">
      <w:pPr>
        <w:pStyle w:val="Standard"/>
        <w:jc w:val="both"/>
        <w:rPr>
          <w:sz w:val="22"/>
          <w:szCs w:val="22"/>
        </w:rPr>
      </w:pPr>
    </w:p>
    <w:p w14:paraId="6E8770CD" w14:textId="77777777" w:rsidR="00121D40" w:rsidRPr="00121D40" w:rsidRDefault="00097260" w:rsidP="00121D40">
      <w:pPr>
        <w:pStyle w:val="Standard"/>
        <w:jc w:val="both"/>
        <w:rPr>
          <w:sz w:val="22"/>
          <w:szCs w:val="22"/>
        </w:rPr>
      </w:pPr>
      <w:r w:rsidRPr="00121D40">
        <w:rPr>
          <w:sz w:val="22"/>
          <w:szCs w:val="22"/>
        </w:rPr>
        <w:t>Comme vous pouvez l’imaginer, cette erreur m’est très préjudiciable et me plonge dans de pro</w:t>
      </w:r>
      <w:r w:rsidR="00121D40" w:rsidRPr="00121D40">
        <w:rPr>
          <w:sz w:val="22"/>
          <w:szCs w:val="22"/>
        </w:rPr>
        <w:t xml:space="preserve">fondes difficultés financières </w:t>
      </w:r>
      <w:r w:rsidR="00121D40" w:rsidRPr="00121D40">
        <w:rPr>
          <w:color w:val="FF0000"/>
          <w:sz w:val="22"/>
          <w:szCs w:val="22"/>
        </w:rPr>
        <w:t>(à détailler le cas échéant).</w:t>
      </w:r>
    </w:p>
    <w:p w14:paraId="5CFF49A7" w14:textId="77777777" w:rsidR="00121D40" w:rsidRPr="00121D40" w:rsidRDefault="00121D40" w:rsidP="00121D40">
      <w:pPr>
        <w:pStyle w:val="Standard"/>
        <w:jc w:val="both"/>
        <w:rPr>
          <w:sz w:val="22"/>
          <w:szCs w:val="22"/>
        </w:rPr>
      </w:pPr>
    </w:p>
    <w:p w14:paraId="48B97C23" w14:textId="77777777" w:rsidR="00111DF4" w:rsidRPr="00121D40" w:rsidRDefault="00097260" w:rsidP="00121D40">
      <w:pPr>
        <w:pStyle w:val="Standard"/>
        <w:jc w:val="both"/>
        <w:rPr>
          <w:sz w:val="22"/>
          <w:szCs w:val="22"/>
        </w:rPr>
      </w:pPr>
      <w:r w:rsidRPr="00121D40">
        <w:rPr>
          <w:sz w:val="22"/>
          <w:szCs w:val="22"/>
        </w:rPr>
        <w:t>Je vous prie donc de bien vouloir régulariser ma situation très rapidement.</w:t>
      </w:r>
    </w:p>
    <w:p w14:paraId="0EDC16D8" w14:textId="77777777" w:rsidR="00111DF4" w:rsidRPr="00121D40" w:rsidRDefault="00111DF4" w:rsidP="00121D40">
      <w:pPr>
        <w:pStyle w:val="Standard"/>
        <w:jc w:val="both"/>
        <w:rPr>
          <w:sz w:val="22"/>
          <w:szCs w:val="22"/>
        </w:rPr>
      </w:pPr>
    </w:p>
    <w:p w14:paraId="2C6524ED" w14:textId="77777777" w:rsidR="00111DF4" w:rsidRPr="00121D40" w:rsidRDefault="00097260" w:rsidP="00121D40">
      <w:pPr>
        <w:pStyle w:val="Standard"/>
        <w:jc w:val="both"/>
        <w:rPr>
          <w:sz w:val="22"/>
          <w:szCs w:val="22"/>
        </w:rPr>
      </w:pPr>
      <w:r w:rsidRPr="00121D40">
        <w:rPr>
          <w:sz w:val="22"/>
          <w:szCs w:val="22"/>
        </w:rPr>
        <w:t xml:space="preserve">Dans cette attente, je vous prie d’agréer, </w:t>
      </w:r>
      <w:r w:rsidRPr="00121D40">
        <w:rPr>
          <w:color w:val="FF0000"/>
          <w:sz w:val="22"/>
          <w:szCs w:val="22"/>
        </w:rPr>
        <w:t xml:space="preserve">Madame </w:t>
      </w:r>
      <w:r w:rsidR="00121D40" w:rsidRPr="00121D40">
        <w:rPr>
          <w:color w:val="FF0000"/>
          <w:sz w:val="22"/>
          <w:szCs w:val="22"/>
        </w:rPr>
        <w:t>(Monsieur)</w:t>
      </w:r>
      <w:r w:rsidRPr="00121D40">
        <w:rPr>
          <w:color w:val="FF0000"/>
          <w:sz w:val="22"/>
          <w:szCs w:val="22"/>
        </w:rPr>
        <w:t xml:space="preserve">, </w:t>
      </w:r>
      <w:r w:rsidRPr="00121D40">
        <w:rPr>
          <w:sz w:val="22"/>
          <w:szCs w:val="22"/>
        </w:rPr>
        <w:t>mes salutations les meilleures.</w:t>
      </w:r>
    </w:p>
    <w:p w14:paraId="3F466460" w14:textId="77777777" w:rsidR="00111DF4" w:rsidRPr="00121D40" w:rsidRDefault="00111DF4">
      <w:pPr>
        <w:pStyle w:val="Standard"/>
        <w:jc w:val="both"/>
        <w:rPr>
          <w:sz w:val="22"/>
          <w:szCs w:val="22"/>
        </w:rPr>
      </w:pPr>
    </w:p>
    <w:p w14:paraId="0A858D45" w14:textId="77777777" w:rsidR="00111DF4" w:rsidRPr="00121D40" w:rsidRDefault="00097260">
      <w:pPr>
        <w:pStyle w:val="Standard"/>
        <w:jc w:val="right"/>
        <w:rPr>
          <w:sz w:val="22"/>
          <w:szCs w:val="22"/>
        </w:rPr>
      </w:pPr>
      <w:r w:rsidRPr="00121D40">
        <w:rPr>
          <w:sz w:val="22"/>
          <w:szCs w:val="22"/>
        </w:rPr>
        <w:tab/>
      </w:r>
      <w:r w:rsidR="00121D40" w:rsidRPr="00121D40">
        <w:rPr>
          <w:b/>
          <w:bCs/>
          <w:sz w:val="22"/>
          <w:szCs w:val="22"/>
        </w:rPr>
        <w:t>Signature</w:t>
      </w:r>
    </w:p>
    <w:sectPr w:rsidR="00111DF4" w:rsidRPr="00121D40">
      <w:pgSz w:w="11906" w:h="16838"/>
      <w:pgMar w:top="562" w:right="1417" w:bottom="858"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0F9C" w14:textId="77777777" w:rsidR="00A8612D" w:rsidRDefault="00A8612D">
      <w:r>
        <w:separator/>
      </w:r>
    </w:p>
  </w:endnote>
  <w:endnote w:type="continuationSeparator" w:id="0">
    <w:p w14:paraId="402D5364" w14:textId="77777777" w:rsidR="00A8612D" w:rsidRDefault="00A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C838" w14:textId="77777777" w:rsidR="00A8612D" w:rsidRDefault="00A8612D">
      <w:r>
        <w:rPr>
          <w:color w:val="000000"/>
        </w:rPr>
        <w:separator/>
      </w:r>
    </w:p>
  </w:footnote>
  <w:footnote w:type="continuationSeparator" w:id="0">
    <w:p w14:paraId="2D08D56D" w14:textId="77777777" w:rsidR="00A8612D" w:rsidRDefault="00A86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0288"/>
    <w:multiLevelType w:val="multilevel"/>
    <w:tmpl w:val="A7EA49A4"/>
    <w:styleLink w:val="WWNum2"/>
    <w:lvl w:ilvl="0">
      <w:numFmt w:val="bullet"/>
      <w:lvlText w:val="-"/>
      <w:lvlJc w:val="left"/>
      <w:pPr>
        <w:ind w:left="720" w:hanging="360"/>
      </w:pPr>
      <w:rPr>
        <w:rFonts w:cs="Aria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nsid w:val="244D53D4"/>
    <w:multiLevelType w:val="multilevel"/>
    <w:tmpl w:val="848A451E"/>
    <w:styleLink w:val="WWNum1"/>
    <w:lvl w:ilvl="0">
      <w:numFmt w:val="bullet"/>
      <w:lvlText w:val="-"/>
      <w:lvlJc w:val="left"/>
      <w:pPr>
        <w:ind w:left="720" w:hanging="360"/>
      </w:pPr>
      <w:rPr>
        <w:rFonts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F4"/>
    <w:rsid w:val="00097260"/>
    <w:rsid w:val="00111DF4"/>
    <w:rsid w:val="00121D40"/>
    <w:rsid w:val="00287FC0"/>
    <w:rsid w:val="008775F1"/>
    <w:rsid w:val="00A8612D"/>
    <w:rsid w:val="00DF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0B1"/>
  <w15:docId w15:val="{9C35632C-DBD7-45BA-964A-F3F03E2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deliste">
    <w:name w:val="List Paragraph"/>
    <w:basedOn w:val="Standard"/>
    <w:pPr>
      <w:ind w:left="720"/>
    </w:pPr>
  </w:style>
  <w:style w:type="character" w:customStyle="1" w:styleId="Internetlink">
    <w:name w:val="Internet link"/>
    <w:basedOn w:val="Policepardfaut"/>
    <w:rPr>
      <w:color w:val="0563C1"/>
      <w:u w:val="single"/>
    </w:rPr>
  </w:style>
  <w:style w:type="character" w:styleId="Lienhypertextevisit">
    <w:name w:val="FollowedHyperlink"/>
    <w:basedOn w:val="Policepardfaut"/>
    <w:rPr>
      <w:color w:val="954F72"/>
      <w:u w:val="single"/>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StrongEmphasis">
    <w:name w:val="Strong Emphasis"/>
    <w:rPr>
      <w:b/>
      <w:bCs/>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semiHidden/>
    <w:unhideWhenUsed/>
    <w:rsid w:val="00121D40"/>
    <w:rPr>
      <w:color w:val="0000FF"/>
      <w:u w:val="single"/>
    </w:rPr>
  </w:style>
  <w:style w:type="character" w:customStyle="1" w:styleId="apple-converted-space">
    <w:name w:val="apple-converted-space"/>
    <w:basedOn w:val="Policepardfaut"/>
    <w:rsid w:val="00121D40"/>
  </w:style>
  <w:style w:type="paragraph" w:styleId="Sous-titre">
    <w:name w:val="Subtitle"/>
    <w:basedOn w:val="Normal"/>
    <w:next w:val="Normal"/>
    <w:link w:val="Sous-titreCar"/>
    <w:uiPriority w:val="11"/>
    <w:qFormat/>
    <w:rsid w:val="008775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775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327356">
      <w:bodyDiv w:val="1"/>
      <w:marLeft w:val="0"/>
      <w:marRight w:val="0"/>
      <w:marTop w:val="0"/>
      <w:marBottom w:val="0"/>
      <w:divBdr>
        <w:top w:val="none" w:sz="0" w:space="0" w:color="auto"/>
        <w:left w:val="none" w:sz="0" w:space="0" w:color="auto"/>
        <w:bottom w:val="none" w:sz="0" w:space="0" w:color="auto"/>
        <w:right w:val="none" w:sz="0" w:space="0" w:color="auto"/>
      </w:divBdr>
      <w:divsChild>
        <w:div w:id="1021784869">
          <w:marLeft w:val="0"/>
          <w:marRight w:val="0"/>
          <w:marTop w:val="0"/>
          <w:marBottom w:val="0"/>
          <w:divBdr>
            <w:top w:val="none" w:sz="0" w:space="0" w:color="auto"/>
            <w:left w:val="none" w:sz="0" w:space="0" w:color="auto"/>
            <w:bottom w:val="none" w:sz="0" w:space="0" w:color="auto"/>
            <w:right w:val="none" w:sz="0" w:space="0" w:color="auto"/>
          </w:divBdr>
        </w:div>
        <w:div w:id="617567823">
          <w:marLeft w:val="0"/>
          <w:marRight w:val="0"/>
          <w:marTop w:val="0"/>
          <w:marBottom w:val="0"/>
          <w:divBdr>
            <w:top w:val="none" w:sz="0" w:space="0" w:color="auto"/>
            <w:left w:val="none" w:sz="0" w:space="0" w:color="auto"/>
            <w:bottom w:val="none" w:sz="0" w:space="0" w:color="auto"/>
            <w:right w:val="none" w:sz="0" w:space="0" w:color="auto"/>
          </w:divBdr>
        </w:div>
        <w:div w:id="7805401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france.gouv.fr/affichJuriAdmin.do?oldAction=rechJuriAdmin&amp;idTexte=CETATEXT000034026089&amp;fastReqId=591153674&amp;fastPos=14" TargetMode="External"/><Relationship Id="rId8" Type="http://schemas.openxmlformats.org/officeDocument/2006/relationships/hyperlink" Target="http://circulaire.legifrance.gouv.fr/pdf/2010/07/cir_3134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2017-03-04T15:23:00Z</dcterms:created>
  <dcterms:modified xsi:type="dcterms:W3CDTF">2017-03-04T15:23:00Z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